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4A154" w14:textId="77777777" w:rsidR="00FA428A" w:rsidRDefault="00380810" w:rsidP="00FA428A">
      <w:pPr>
        <w:tabs>
          <w:tab w:val="left" w:pos="480"/>
          <w:tab w:val="left" w:pos="5103"/>
          <w:tab w:val="left" w:pos="5812"/>
          <w:tab w:val="left" w:pos="6379"/>
          <w:tab w:val="left" w:pos="6946"/>
          <w:tab w:val="right" w:pos="9781"/>
        </w:tabs>
        <w:spacing w:before="120"/>
        <w:ind w:left="-709" w:right="-709"/>
        <w:rPr>
          <w:rFonts w:cs="Arial"/>
          <w:sz w:val="18"/>
        </w:rPr>
      </w:pPr>
      <w:r>
        <w:rPr>
          <w:rFonts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67D40" wp14:editId="195FACFC">
                <wp:simplePos x="0" y="0"/>
                <wp:positionH relativeFrom="column">
                  <wp:posOffset>2195830</wp:posOffset>
                </wp:positionH>
                <wp:positionV relativeFrom="paragraph">
                  <wp:posOffset>-15875</wp:posOffset>
                </wp:positionV>
                <wp:extent cx="3491230" cy="58102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230" cy="581025"/>
                        </a:xfrm>
                        <a:prstGeom prst="rect">
                          <a:avLst/>
                        </a:prstGeom>
                        <a:solidFill>
                          <a:srgbClr val="006AA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97FF3A" w14:textId="77777777" w:rsidR="00295728" w:rsidRDefault="00295728" w:rsidP="00380810">
                            <w:pPr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Recettes du Versement Mobilité</w:t>
                            </w:r>
                          </w:p>
                          <w:p w14:paraId="57275120" w14:textId="77777777" w:rsidR="00295728" w:rsidRPr="00380810" w:rsidRDefault="00295728" w:rsidP="00380810">
                            <w:pPr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Bilan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67D4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72.9pt;margin-top:-1.25pt;width:274.9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" fillcolor="#006aa6" stroked="f" strokeweight=".5pt">
                <v:textbox>
                  <w:txbxContent>
                    <w:p w14:paraId="7997FF3A" w14:textId="77777777" w:rsidR="00295728" w:rsidRDefault="00295728" w:rsidP="00380810">
                      <w:pPr>
                        <w:jc w:val="center"/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  <w:t>Recettes du Versement Mobilité</w:t>
                      </w:r>
                    </w:p>
                    <w:p w14:paraId="57275120" w14:textId="77777777" w:rsidR="00295728" w:rsidRPr="00380810" w:rsidRDefault="00295728" w:rsidP="00380810">
                      <w:pPr>
                        <w:jc w:val="center"/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  <w:sz w:val="32"/>
                          <w:szCs w:val="32"/>
                        </w:rPr>
                        <w:t>Bilan 2020</w:t>
                      </w:r>
                    </w:p>
                  </w:txbxContent>
                </v:textbox>
              </v:shape>
            </w:pict>
          </mc:Fallback>
        </mc:AlternateContent>
      </w:r>
    </w:p>
    <w:p w14:paraId="7C4DCFD4" w14:textId="77777777" w:rsidR="00FA428A" w:rsidRDefault="00FA428A" w:rsidP="00FA428A">
      <w:pPr>
        <w:tabs>
          <w:tab w:val="left" w:pos="480"/>
          <w:tab w:val="left" w:pos="5103"/>
          <w:tab w:val="left" w:pos="5812"/>
          <w:tab w:val="left" w:pos="6379"/>
          <w:tab w:val="left" w:pos="6946"/>
          <w:tab w:val="right" w:pos="9781"/>
        </w:tabs>
        <w:spacing w:before="120"/>
        <w:ind w:left="-709" w:right="-709"/>
        <w:rPr>
          <w:rFonts w:cs="Arial"/>
          <w:sz w:val="18"/>
        </w:rPr>
      </w:pPr>
    </w:p>
    <w:p w14:paraId="502B00AF" w14:textId="77777777" w:rsidR="00FA428A" w:rsidRDefault="00FA428A" w:rsidP="00FA428A">
      <w:pPr>
        <w:tabs>
          <w:tab w:val="left" w:pos="480"/>
          <w:tab w:val="left" w:pos="5103"/>
          <w:tab w:val="left" w:pos="5812"/>
          <w:tab w:val="left" w:pos="6379"/>
          <w:tab w:val="left" w:pos="6946"/>
          <w:tab w:val="right" w:pos="9781"/>
        </w:tabs>
        <w:spacing w:before="120"/>
        <w:ind w:left="-709" w:right="-709"/>
        <w:rPr>
          <w:rFonts w:cs="Arial"/>
          <w:sz w:val="18"/>
        </w:rPr>
      </w:pPr>
    </w:p>
    <w:p w14:paraId="1CC61F67" w14:textId="77777777" w:rsidR="00FA428A" w:rsidRDefault="00FA428A" w:rsidP="00FA428A"/>
    <w:p w14:paraId="77AF867C" w14:textId="77777777" w:rsidR="00FA428A" w:rsidRDefault="00FA428A" w:rsidP="00380810"/>
    <w:p w14:paraId="23C73B9C" w14:textId="77777777" w:rsidR="0070220C" w:rsidRDefault="0070220C" w:rsidP="00380810">
      <w:pPr>
        <w:rPr>
          <w:b/>
          <w:color w:val="1D457D"/>
          <w:sz w:val="40"/>
          <w:szCs w:val="40"/>
        </w:rPr>
      </w:pPr>
    </w:p>
    <w:p w14:paraId="2D468D31" w14:textId="77777777" w:rsidR="00293F9D" w:rsidRDefault="00293F9D" w:rsidP="00380810">
      <w:pPr>
        <w:rPr>
          <w:b/>
          <w:color w:val="1D457D"/>
          <w:sz w:val="40"/>
          <w:szCs w:val="40"/>
        </w:rPr>
      </w:pPr>
    </w:p>
    <w:p w14:paraId="06A34927" w14:textId="77777777" w:rsidR="00293F9D" w:rsidRDefault="00293F9D" w:rsidP="00380810">
      <w:pPr>
        <w:rPr>
          <w:b/>
          <w:color w:val="1D457D"/>
          <w:sz w:val="40"/>
          <w:szCs w:val="40"/>
        </w:rPr>
      </w:pPr>
    </w:p>
    <w:p w14:paraId="1432D690" w14:textId="48C8C4AD" w:rsidR="00DC0132" w:rsidRDefault="0070220C" w:rsidP="00DC0132">
      <w:r>
        <w:t xml:space="preserve">L’année 2020 a </w:t>
      </w:r>
      <w:r w:rsidR="00DC0132">
        <w:t xml:space="preserve">été exceptionnelle pour le </w:t>
      </w:r>
      <w:r>
        <w:t xml:space="preserve">recouvrement des cotisations et contributions sociales. Le </w:t>
      </w:r>
      <w:r w:rsidR="003313A8">
        <w:t xml:space="preserve">12 mars, le Président de la République annonçait </w:t>
      </w:r>
      <w:r w:rsidR="00DC0132">
        <w:t>des mesures exceptionnelles pour accompagner les entreprises touchées par les restrictions sanitaires.</w:t>
      </w:r>
    </w:p>
    <w:p w14:paraId="69477683" w14:textId="7D5E1046" w:rsidR="00C96E5D" w:rsidRDefault="00C96E5D" w:rsidP="00C96E5D">
      <w:r>
        <w:t xml:space="preserve">Concernant les cotisations et contributions sociales, il </w:t>
      </w:r>
      <w:r w:rsidR="0053079B">
        <w:t>donnait</w:t>
      </w:r>
      <w:r>
        <w:t xml:space="preserve"> la possibilité aux entreprises en difficulté</w:t>
      </w:r>
      <w:r w:rsidR="0053079B">
        <w:t>s</w:t>
      </w:r>
      <w:r>
        <w:t xml:space="preserve"> </w:t>
      </w:r>
      <w:r w:rsidR="0053079B">
        <w:t xml:space="preserve">financières </w:t>
      </w:r>
      <w:r>
        <w:t xml:space="preserve">de reporter le paiement de leurs échéances et ouvrait largement les possibilités de recours </w:t>
      </w:r>
      <w:r w:rsidR="009C7DB3">
        <w:t xml:space="preserve">au dispositif d’activité </w:t>
      </w:r>
      <w:r>
        <w:t>partiel</w:t>
      </w:r>
      <w:r w:rsidR="009C7DB3">
        <w:t>le</w:t>
      </w:r>
      <w:r>
        <w:t>, uniquement contributif à la CGS et la CRDS.</w:t>
      </w:r>
    </w:p>
    <w:p w14:paraId="759A662A" w14:textId="77777777" w:rsidR="003313A8" w:rsidRDefault="003313A8" w:rsidP="0070220C"/>
    <w:p w14:paraId="3F4E4CA6" w14:textId="0CF1F4BC" w:rsidR="00C96E5D" w:rsidRDefault="00C96E5D" w:rsidP="0070220C">
      <w:r>
        <w:t xml:space="preserve">En parallèle de </w:t>
      </w:r>
      <w:r w:rsidR="00DC0132">
        <w:t>deux confinements généralisés et de fermetures administratives ciblées sur certains secteurs d’activité</w:t>
      </w:r>
      <w:r>
        <w:t>, d</w:t>
      </w:r>
      <w:r w:rsidR="0070220C">
        <w:t xml:space="preserve">’autres mesures sont venues compléter les dispositifs d’accompagnement des entreprises, </w:t>
      </w:r>
      <w:r>
        <w:t xml:space="preserve">telles que les </w:t>
      </w:r>
      <w:r w:rsidR="0070220C">
        <w:t>exonérations, aides au paiement des cotisations</w:t>
      </w:r>
      <w:r w:rsidR="0053079B">
        <w:t xml:space="preserve"> et</w:t>
      </w:r>
      <w:r w:rsidR="009C7DB3">
        <w:t>, à compter de 2021,</w:t>
      </w:r>
      <w:r w:rsidR="0070220C">
        <w:t xml:space="preserve"> possibilité</w:t>
      </w:r>
      <w:r w:rsidR="0053079B">
        <w:t>s</w:t>
      </w:r>
      <w:r w:rsidR="0070220C">
        <w:t xml:space="preserve"> de remises exceptionnelles</w:t>
      </w:r>
      <w:r w:rsidR="0053079B">
        <w:t xml:space="preserve"> </w:t>
      </w:r>
      <w:r>
        <w:t>pour les entreprises des secteurs plus particulièrement touchés par les fermetures et baisses importantes d’activité.</w:t>
      </w:r>
      <w:r w:rsidR="009C7DB3">
        <w:t xml:space="preserve"> </w:t>
      </w:r>
    </w:p>
    <w:p w14:paraId="39DF4BA8" w14:textId="77777777" w:rsidR="00C96E5D" w:rsidRDefault="00C96E5D" w:rsidP="0070220C"/>
    <w:p w14:paraId="46662D38" w14:textId="06B35BFA" w:rsidR="00367BC2" w:rsidRDefault="00C96E5D" w:rsidP="0070220C">
      <w:r>
        <w:t xml:space="preserve">Durant </w:t>
      </w:r>
      <w:r w:rsidR="00367BC2">
        <w:t xml:space="preserve">la période la plus perturbée, d’avril à août 2020, et afin de </w:t>
      </w:r>
      <w:r w:rsidR="00367BC2" w:rsidRPr="00367BC2">
        <w:t>permettre aux AOM de disposer de la meilleure visibilité possible sur leurs recettes dans un contexte de maintien de</w:t>
      </w:r>
      <w:r w:rsidR="00367BC2">
        <w:t>s</w:t>
      </w:r>
      <w:r w:rsidR="00367BC2" w:rsidRPr="00367BC2">
        <w:t xml:space="preserve"> service</w:t>
      </w:r>
      <w:r w:rsidR="00367BC2">
        <w:t>s</w:t>
      </w:r>
      <w:r w:rsidR="00367BC2" w:rsidRPr="00367BC2">
        <w:t xml:space="preserve"> des transports en commun</w:t>
      </w:r>
      <w:r w:rsidR="00367BC2">
        <w:t xml:space="preserve">, </w:t>
      </w:r>
      <w:r>
        <w:t>l</w:t>
      </w:r>
      <w:r w:rsidR="0070220C">
        <w:t xml:space="preserve">’Urssaf </w:t>
      </w:r>
      <w:r>
        <w:t>C</w:t>
      </w:r>
      <w:r w:rsidR="0070220C">
        <w:t>aisse nationale</w:t>
      </w:r>
      <w:r w:rsidR="0053079B">
        <w:t xml:space="preserve"> a</w:t>
      </w:r>
      <w:r w:rsidR="0070220C">
        <w:t xml:space="preserve"> </w:t>
      </w:r>
      <w:r w:rsidR="00367BC2">
        <w:t>réévalué chaque mois les projections d’encaissement</w:t>
      </w:r>
      <w:r w:rsidR="00876BD1">
        <w:t>s</w:t>
      </w:r>
      <w:r w:rsidR="00367BC2">
        <w:t xml:space="preserve"> affectés au versement mobilité. En accord</w:t>
      </w:r>
      <w:r>
        <w:t xml:space="preserve"> avec le </w:t>
      </w:r>
      <w:proofErr w:type="spellStart"/>
      <w:r>
        <w:t>Gart</w:t>
      </w:r>
      <w:proofErr w:type="spellEnd"/>
      <w:r>
        <w:t>,</w:t>
      </w:r>
      <w:r w:rsidR="00367BC2">
        <w:t xml:space="preserve"> elle a</w:t>
      </w:r>
      <w:r>
        <w:t xml:space="preserve"> modulé ses reversements aux </w:t>
      </w:r>
      <w:r w:rsidR="00367BC2">
        <w:t>AOM</w:t>
      </w:r>
      <w:r>
        <w:t xml:space="preserve"> pour les ajuster </w:t>
      </w:r>
      <w:r w:rsidR="00367BC2">
        <w:t xml:space="preserve">au mieux à ces prévisions. </w:t>
      </w:r>
    </w:p>
    <w:p w14:paraId="58E1983B" w14:textId="77777777" w:rsidR="00367BC2" w:rsidRDefault="00367BC2" w:rsidP="0070220C"/>
    <w:p w14:paraId="6199F5EF" w14:textId="726127B6" w:rsidR="00367BC2" w:rsidRDefault="0070220C" w:rsidP="0070220C">
      <w:r>
        <w:t xml:space="preserve">Le retour à la normale des modalités de reversement </w:t>
      </w:r>
      <w:r w:rsidR="0053079B">
        <w:t xml:space="preserve">du VM </w:t>
      </w:r>
      <w:r>
        <w:t xml:space="preserve">à compter de </w:t>
      </w:r>
      <w:r w:rsidR="00367BC2">
        <w:t>septembre 2020, et la fin d</w:t>
      </w:r>
      <w:r w:rsidR="00432B9F">
        <w:t>u second confinement le 15 décembre 2020, ne signifient pas pour autant l</w:t>
      </w:r>
      <w:r w:rsidR="00367BC2">
        <w:t xml:space="preserve">a fin des mesures mises en œuvre pour </w:t>
      </w:r>
      <w:r w:rsidR="00432B9F">
        <w:t>l’accompagnement économique des</w:t>
      </w:r>
      <w:r w:rsidR="00367BC2">
        <w:t xml:space="preserve"> </w:t>
      </w:r>
      <w:r w:rsidR="00432B9F">
        <w:t xml:space="preserve">entreprises, ni le retour </w:t>
      </w:r>
      <w:r>
        <w:t>des ressources du VM</w:t>
      </w:r>
      <w:r w:rsidR="00367BC2">
        <w:t xml:space="preserve"> à hauteur de la situation </w:t>
      </w:r>
      <w:r w:rsidR="00432B9F">
        <w:t xml:space="preserve">connue </w:t>
      </w:r>
      <w:r w:rsidR="00367BC2">
        <w:t xml:space="preserve">avant </w:t>
      </w:r>
      <w:r w:rsidR="00432B9F">
        <w:t>la</w:t>
      </w:r>
      <w:r w:rsidR="00367BC2">
        <w:t xml:space="preserve"> crise sanitaire.</w:t>
      </w:r>
    </w:p>
    <w:p w14:paraId="6A7CBE3E" w14:textId="77777777" w:rsidR="00432B9F" w:rsidRDefault="00432B9F" w:rsidP="0070220C"/>
    <w:p w14:paraId="4E9B4A5B" w14:textId="77777777" w:rsidR="0070220C" w:rsidRDefault="0070220C" w:rsidP="0070220C">
      <w:r>
        <w:t>L’objet de ce document</w:t>
      </w:r>
      <w:r w:rsidR="00432B9F">
        <w:t xml:space="preserve"> est d’établir un b</w:t>
      </w:r>
      <w:r>
        <w:t>ilan, à fin janvier 2021, des impacts de la crise sanitaire et des mesures d’accompagnement des entreprises sur les recettes du versement mobilité.</w:t>
      </w:r>
    </w:p>
    <w:p w14:paraId="36806C3C" w14:textId="77777777" w:rsidR="0070220C" w:rsidRDefault="0070220C" w:rsidP="0070220C"/>
    <w:p w14:paraId="77C51834" w14:textId="77777777" w:rsidR="00786217" w:rsidRDefault="00786217" w:rsidP="0070220C"/>
    <w:p w14:paraId="5F3E7DFF" w14:textId="77777777" w:rsidR="00432B9F" w:rsidRDefault="00432B9F" w:rsidP="0070220C"/>
    <w:p w14:paraId="7B748A42" w14:textId="77777777" w:rsidR="00432B9F" w:rsidRDefault="00432B9F">
      <w:pPr>
        <w:jc w:val="left"/>
      </w:pPr>
      <w:r>
        <w:br w:type="page"/>
      </w:r>
    </w:p>
    <w:p w14:paraId="40E8F206" w14:textId="77777777" w:rsidR="00786217" w:rsidRDefault="00786217" w:rsidP="0070220C"/>
    <w:p w14:paraId="4399A752" w14:textId="77777777" w:rsidR="00094593" w:rsidRPr="00043D43" w:rsidRDefault="00786217" w:rsidP="0004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043D43">
        <w:rPr>
          <w:b/>
          <w:bCs/>
        </w:rPr>
        <w:t>Not</w:t>
      </w:r>
      <w:r w:rsidR="00094593" w:rsidRPr="00043D43">
        <w:rPr>
          <w:b/>
          <w:bCs/>
        </w:rPr>
        <w:t xml:space="preserve">e </w:t>
      </w:r>
      <w:r w:rsidR="00043D43" w:rsidRPr="00043D43">
        <w:rPr>
          <w:b/>
          <w:bCs/>
        </w:rPr>
        <w:t>méthodologique</w:t>
      </w:r>
    </w:p>
    <w:p w14:paraId="78B4D824" w14:textId="77777777" w:rsidR="00FD21BF" w:rsidRDefault="00FD21BF" w:rsidP="0004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 xml:space="preserve">L’analyse développée dans </w:t>
      </w:r>
      <w:r w:rsidR="00043D43">
        <w:t>ce document</w:t>
      </w:r>
      <w:r>
        <w:t xml:space="preserve"> porte sur les encaissements </w:t>
      </w:r>
      <w:r w:rsidR="00094593">
        <w:t>perçus</w:t>
      </w:r>
      <w:r>
        <w:t xml:space="preserve"> par les </w:t>
      </w:r>
      <w:r w:rsidR="00094593">
        <w:t>Urssaf</w:t>
      </w:r>
      <w:r w:rsidR="00432B9F">
        <w:t xml:space="preserve"> et </w:t>
      </w:r>
      <w:r w:rsidR="00094593">
        <w:t>a</w:t>
      </w:r>
      <w:r w:rsidR="00432B9F">
        <w:t>f</w:t>
      </w:r>
      <w:r w:rsidR="00094593">
        <w:t>f</w:t>
      </w:r>
      <w:r w:rsidR="00432B9F">
        <w:t>ec</w:t>
      </w:r>
      <w:r w:rsidR="00094593">
        <w:t>tés</w:t>
      </w:r>
      <w:r>
        <w:t xml:space="preserve"> au </w:t>
      </w:r>
      <w:r w:rsidR="00094593">
        <w:t>versement</w:t>
      </w:r>
      <w:r>
        <w:t xml:space="preserve"> mobilité</w:t>
      </w:r>
      <w:r w:rsidR="00432B9F">
        <w:t xml:space="preserve"> au cours de l’année 2020</w:t>
      </w:r>
      <w:r>
        <w:t>.</w:t>
      </w:r>
    </w:p>
    <w:p w14:paraId="4CD4D7BC" w14:textId="577974C3" w:rsidR="00786217" w:rsidRDefault="008053C6" w:rsidP="0004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 xml:space="preserve">Ces encaissements </w:t>
      </w:r>
      <w:r w:rsidR="00FD21BF">
        <w:t xml:space="preserve">ne correspondent pas exactement aux reversements effectués aux AOM. Ceux-ci sont </w:t>
      </w:r>
      <w:r w:rsidR="00094593">
        <w:t xml:space="preserve">en effet </w:t>
      </w:r>
      <w:r w:rsidR="00FD21BF">
        <w:t>opérés en deux temps, un acompte a</w:t>
      </w:r>
      <w:r w:rsidR="00094593">
        <w:t>u</w:t>
      </w:r>
      <w:r w:rsidR="00FD21BF">
        <w:t xml:space="preserve"> 20 du mois M (correspondant à 75% de encaissements perçus par les Urssaf</w:t>
      </w:r>
      <w:r w:rsidR="0053079B">
        <w:t xml:space="preserve"> en M-2</w:t>
      </w:r>
      <w:r w:rsidR="00FD21BF">
        <w:t xml:space="preserve">), puis </w:t>
      </w:r>
      <w:r w:rsidR="00094593">
        <w:t xml:space="preserve">le </w:t>
      </w:r>
      <w:r w:rsidR="0053079B">
        <w:t xml:space="preserve">reversement du </w:t>
      </w:r>
      <w:r w:rsidR="00094593">
        <w:t>solde</w:t>
      </w:r>
      <w:r w:rsidR="00FD21BF">
        <w:t xml:space="preserve"> au 20 du mois M+2, une </w:t>
      </w:r>
      <w:r w:rsidR="00094593">
        <w:t>fois</w:t>
      </w:r>
      <w:r w:rsidR="00FD21BF">
        <w:t xml:space="preserve"> les </w:t>
      </w:r>
      <w:r w:rsidR="00094593">
        <w:t>encaissements</w:t>
      </w:r>
      <w:r w:rsidR="00FD21BF">
        <w:t xml:space="preserve"> </w:t>
      </w:r>
      <w:r w:rsidR="00094593">
        <w:t>définitifs</w:t>
      </w:r>
      <w:r w:rsidR="00FD21BF">
        <w:t xml:space="preserve"> connus et fiabilisés</w:t>
      </w:r>
      <w:r w:rsidR="00094593">
        <w:t>. Les reversements effectués</w:t>
      </w:r>
      <w:r w:rsidR="00FD21BF">
        <w:t xml:space="preserve"> tiennent</w:t>
      </w:r>
      <w:r w:rsidR="00043D43">
        <w:t xml:space="preserve"> aussi</w:t>
      </w:r>
      <w:r w:rsidR="00FD21BF">
        <w:t xml:space="preserve"> compte d’une retenue de 1% pour frais de gestion.</w:t>
      </w:r>
    </w:p>
    <w:p w14:paraId="2D6E8E51" w14:textId="25CDB402" w:rsidR="008053C6" w:rsidRDefault="008053C6" w:rsidP="0004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>L’assiette de cotisation du versement mobilité n’est pas égale à l’assiette déplafonnée des cotisations du régime général</w:t>
      </w:r>
      <w:r w:rsidR="00F62461">
        <w:t>, régulièrement publiée par l’Urssaf Caisse nationale et largement commentée. En effet, l’assiette du VM se différencie de l’assiette déplafonnée par le seuil d’assujettissement au VM fixé à 11 salariés et la couverture partielle du territoire par les zones VM. L’assiette spécifique au VM a donc été reconstituée pour analyse dans ce document.</w:t>
      </w:r>
    </w:p>
    <w:p w14:paraId="70B4B65D" w14:textId="7800294F" w:rsidR="00094593" w:rsidRDefault="009C7DB3" w:rsidP="0004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t>Enfin</w:t>
      </w:r>
      <w:r w:rsidR="0053079B">
        <w:t xml:space="preserve">, </w:t>
      </w:r>
      <w:r w:rsidR="00FD21BF">
        <w:t xml:space="preserve">les cotisations </w:t>
      </w:r>
      <w:r w:rsidR="00094593">
        <w:t>portant</w:t>
      </w:r>
      <w:r w:rsidR="00FD21BF">
        <w:t xml:space="preserve"> sur les salaires d’un mois </w:t>
      </w:r>
      <w:r w:rsidR="00094593">
        <w:t>donné</w:t>
      </w:r>
      <w:r w:rsidR="00432B9F">
        <w:t xml:space="preserve"> (période d’emploi)</w:t>
      </w:r>
      <w:r w:rsidR="00094593">
        <w:t xml:space="preserve"> </w:t>
      </w:r>
      <w:r w:rsidR="00FD21BF">
        <w:t xml:space="preserve">sont </w:t>
      </w:r>
      <w:r w:rsidR="00043D43">
        <w:t xml:space="preserve">exigibles </w:t>
      </w:r>
      <w:r w:rsidR="00094593">
        <w:t>le mois suivant</w:t>
      </w:r>
      <w:r w:rsidR="00432B9F">
        <w:t xml:space="preserve"> (mois d’exigibilité)</w:t>
      </w:r>
      <w:r w:rsidR="00043D43">
        <w:t xml:space="preserve">, instaurant </w:t>
      </w:r>
      <w:r w:rsidR="00432B9F">
        <w:t>ainsi</w:t>
      </w:r>
      <w:r w:rsidR="00043D43">
        <w:t xml:space="preserve"> un dé</w:t>
      </w:r>
      <w:r w:rsidR="00432B9F">
        <w:t>c</w:t>
      </w:r>
      <w:r w:rsidR="00043D43">
        <w:t>a</w:t>
      </w:r>
      <w:r w:rsidR="00432B9F">
        <w:t>l</w:t>
      </w:r>
      <w:r w:rsidR="00043D43">
        <w:t>age d’un mois entre période</w:t>
      </w:r>
      <w:r w:rsidR="00432B9F">
        <w:t xml:space="preserve"> d’emploi</w:t>
      </w:r>
      <w:r w:rsidR="00043D43">
        <w:t xml:space="preserve"> et comptabilisation des encaissements en Urssaf</w:t>
      </w:r>
      <w:r w:rsidR="00094593">
        <w:t xml:space="preserve">. Les encaissements perçus par les Urssaf et affectés au versement mobilité au cours d’une année portent </w:t>
      </w:r>
      <w:r w:rsidR="00AD1D1D">
        <w:t>ainsi</w:t>
      </w:r>
      <w:r w:rsidR="00094593">
        <w:t xml:space="preserve"> sur les assiettes salariales </w:t>
      </w:r>
      <w:r w:rsidR="00432B9F">
        <w:t xml:space="preserve">des périodes d’emploi </w:t>
      </w:r>
      <w:r w:rsidR="00094593">
        <w:t>allant de décembre de l’année précédent</w:t>
      </w:r>
      <w:r w:rsidR="00043D43">
        <w:t>e</w:t>
      </w:r>
      <w:r w:rsidR="00094593">
        <w:t xml:space="preserve"> à novembre de l’année considérée.</w:t>
      </w:r>
    </w:p>
    <w:p w14:paraId="5FC508E4" w14:textId="77777777" w:rsidR="005A424A" w:rsidRDefault="00094593" w:rsidP="00915ABC">
      <w:r>
        <w:t xml:space="preserve">  </w:t>
      </w:r>
    </w:p>
    <w:p w14:paraId="24F2FD74" w14:textId="77777777" w:rsidR="007C6776" w:rsidRDefault="007C6776">
      <w:pPr>
        <w:jc w:val="left"/>
        <w:rPr>
          <w:b/>
          <w:color w:val="40B8BB"/>
          <w:sz w:val="24"/>
          <w:szCs w:val="24"/>
        </w:rPr>
      </w:pPr>
    </w:p>
    <w:p w14:paraId="18F210D4" w14:textId="77777777" w:rsidR="00432B9F" w:rsidRDefault="00432B9F">
      <w:pPr>
        <w:jc w:val="left"/>
        <w:rPr>
          <w:b/>
          <w:color w:val="40B8BB"/>
          <w:sz w:val="24"/>
          <w:szCs w:val="24"/>
        </w:rPr>
      </w:pPr>
    </w:p>
    <w:p w14:paraId="197C45A6" w14:textId="77777777" w:rsidR="00432B9F" w:rsidRDefault="00432B9F">
      <w:pPr>
        <w:jc w:val="left"/>
        <w:rPr>
          <w:b/>
          <w:color w:val="40B8BB"/>
          <w:sz w:val="24"/>
          <w:szCs w:val="24"/>
        </w:rPr>
      </w:pPr>
    </w:p>
    <w:p w14:paraId="4F88A05C" w14:textId="77777777" w:rsidR="005A424A" w:rsidRPr="001E1FD2" w:rsidRDefault="001E1FD2" w:rsidP="00915ABC">
      <w:pPr>
        <w:rPr>
          <w:b/>
          <w:color w:val="40B8BB"/>
          <w:sz w:val="24"/>
          <w:szCs w:val="24"/>
        </w:rPr>
      </w:pPr>
      <w:r w:rsidRPr="001E1FD2">
        <w:rPr>
          <w:b/>
          <w:color w:val="40B8BB"/>
          <w:sz w:val="24"/>
          <w:szCs w:val="24"/>
        </w:rPr>
        <w:t>1</w:t>
      </w:r>
      <w:r w:rsidR="005A424A" w:rsidRPr="001E1FD2">
        <w:rPr>
          <w:b/>
          <w:color w:val="40B8BB"/>
          <w:sz w:val="24"/>
          <w:szCs w:val="24"/>
        </w:rPr>
        <w:t xml:space="preserve"> </w:t>
      </w:r>
      <w:r w:rsidR="00DE0D91" w:rsidRPr="001E1FD2">
        <w:rPr>
          <w:b/>
          <w:color w:val="40B8BB"/>
          <w:sz w:val="24"/>
          <w:szCs w:val="24"/>
        </w:rPr>
        <w:t>–</w:t>
      </w:r>
      <w:r w:rsidR="0070220C" w:rsidRPr="001E1FD2">
        <w:rPr>
          <w:b/>
          <w:color w:val="40B8BB"/>
          <w:sz w:val="24"/>
          <w:szCs w:val="24"/>
        </w:rPr>
        <w:t xml:space="preserve"> Un</w:t>
      </w:r>
      <w:r w:rsidR="00DE0D91" w:rsidRPr="001E1FD2">
        <w:rPr>
          <w:b/>
          <w:color w:val="40B8BB"/>
          <w:sz w:val="24"/>
          <w:szCs w:val="24"/>
        </w:rPr>
        <w:t>e baisse</w:t>
      </w:r>
      <w:r w:rsidR="009A7260" w:rsidRPr="001E1FD2">
        <w:rPr>
          <w:b/>
          <w:color w:val="40B8BB"/>
          <w:sz w:val="24"/>
          <w:szCs w:val="24"/>
        </w:rPr>
        <w:t xml:space="preserve"> contenue</w:t>
      </w:r>
      <w:r w:rsidR="00DE0D91" w:rsidRPr="001E1FD2">
        <w:rPr>
          <w:b/>
          <w:color w:val="40B8BB"/>
          <w:sz w:val="24"/>
          <w:szCs w:val="24"/>
        </w:rPr>
        <w:t xml:space="preserve"> des reversements aux AOM</w:t>
      </w:r>
      <w:r>
        <w:rPr>
          <w:b/>
          <w:color w:val="40B8BB"/>
          <w:sz w:val="24"/>
          <w:szCs w:val="24"/>
        </w:rPr>
        <w:t>, -</w:t>
      </w:r>
      <w:r w:rsidR="003313A8">
        <w:rPr>
          <w:b/>
          <w:color w:val="40B8BB"/>
          <w:sz w:val="24"/>
          <w:szCs w:val="24"/>
        </w:rPr>
        <w:t xml:space="preserve"> </w:t>
      </w:r>
      <w:r w:rsidR="00A33733" w:rsidRPr="001E1FD2">
        <w:rPr>
          <w:b/>
          <w:color w:val="40B8BB"/>
          <w:sz w:val="24"/>
          <w:szCs w:val="24"/>
        </w:rPr>
        <w:t>5,1</w:t>
      </w:r>
      <w:r w:rsidR="005A424A" w:rsidRPr="001E1FD2">
        <w:rPr>
          <w:b/>
          <w:color w:val="40B8BB"/>
          <w:sz w:val="24"/>
          <w:szCs w:val="24"/>
        </w:rPr>
        <w:t xml:space="preserve">% </w:t>
      </w:r>
      <w:r w:rsidR="00DE0D91" w:rsidRPr="001E1FD2">
        <w:rPr>
          <w:b/>
          <w:color w:val="40B8BB"/>
          <w:sz w:val="24"/>
          <w:szCs w:val="24"/>
        </w:rPr>
        <w:t>par rapport à 2019</w:t>
      </w:r>
      <w:r>
        <w:rPr>
          <w:b/>
          <w:color w:val="40B8BB"/>
          <w:sz w:val="24"/>
          <w:szCs w:val="24"/>
        </w:rPr>
        <w:t>,</w:t>
      </w:r>
      <w:r w:rsidR="005A424A" w:rsidRPr="001E1FD2">
        <w:rPr>
          <w:b/>
          <w:color w:val="40B8BB"/>
          <w:sz w:val="24"/>
          <w:szCs w:val="24"/>
        </w:rPr>
        <w:t xml:space="preserve"> réparti</w:t>
      </w:r>
      <w:r w:rsidR="00DE0D91" w:rsidRPr="001E1FD2">
        <w:rPr>
          <w:b/>
          <w:color w:val="40B8BB"/>
          <w:sz w:val="24"/>
          <w:szCs w:val="24"/>
        </w:rPr>
        <w:t>e</w:t>
      </w:r>
      <w:r w:rsidR="005A424A" w:rsidRPr="001E1FD2">
        <w:rPr>
          <w:b/>
          <w:color w:val="40B8BB"/>
          <w:sz w:val="24"/>
          <w:szCs w:val="24"/>
        </w:rPr>
        <w:t xml:space="preserve"> </w:t>
      </w:r>
      <w:r>
        <w:rPr>
          <w:b/>
          <w:color w:val="40B8BB"/>
          <w:sz w:val="24"/>
          <w:szCs w:val="24"/>
        </w:rPr>
        <w:t>entre</w:t>
      </w:r>
      <w:r w:rsidR="005A424A" w:rsidRPr="001E1FD2">
        <w:rPr>
          <w:b/>
          <w:color w:val="40B8BB"/>
          <w:sz w:val="24"/>
          <w:szCs w:val="24"/>
        </w:rPr>
        <w:t xml:space="preserve"> baisse de </w:t>
      </w:r>
      <w:r w:rsidR="0070220C" w:rsidRPr="001E1FD2">
        <w:rPr>
          <w:b/>
          <w:color w:val="40B8BB"/>
          <w:sz w:val="24"/>
          <w:szCs w:val="24"/>
        </w:rPr>
        <w:t>cotisations</w:t>
      </w:r>
      <w:r w:rsidR="005A424A" w:rsidRPr="001E1FD2">
        <w:rPr>
          <w:b/>
          <w:color w:val="40B8BB"/>
          <w:sz w:val="24"/>
          <w:szCs w:val="24"/>
        </w:rPr>
        <w:t xml:space="preserve"> liquidée</w:t>
      </w:r>
      <w:r w:rsidR="00DB6E79" w:rsidRPr="001E1FD2">
        <w:rPr>
          <w:b/>
          <w:color w:val="40B8BB"/>
          <w:sz w:val="24"/>
          <w:szCs w:val="24"/>
        </w:rPr>
        <w:t>s</w:t>
      </w:r>
      <w:r w:rsidR="005A424A" w:rsidRPr="001E1FD2">
        <w:rPr>
          <w:b/>
          <w:color w:val="40B8BB"/>
          <w:sz w:val="24"/>
          <w:szCs w:val="24"/>
        </w:rPr>
        <w:t xml:space="preserve"> et</w:t>
      </w:r>
      <w:r w:rsidR="009A7260" w:rsidRPr="001E1FD2">
        <w:rPr>
          <w:b/>
          <w:color w:val="40B8BB"/>
          <w:sz w:val="24"/>
          <w:szCs w:val="24"/>
        </w:rPr>
        <w:t xml:space="preserve"> hausse des </w:t>
      </w:r>
      <w:r w:rsidR="00DE419C">
        <w:rPr>
          <w:b/>
          <w:color w:val="40B8BB"/>
          <w:sz w:val="24"/>
          <w:szCs w:val="24"/>
        </w:rPr>
        <w:t>restes à recouvrer</w:t>
      </w:r>
    </w:p>
    <w:p w14:paraId="477CC5F5" w14:textId="77777777" w:rsidR="00DB6E79" w:rsidRDefault="003313A8" w:rsidP="00915ABC">
      <w:r>
        <w:t xml:space="preserve"> </w:t>
      </w:r>
    </w:p>
    <w:p w14:paraId="18C32E5C" w14:textId="77777777" w:rsidR="00DB6E79" w:rsidRDefault="00DB6E79" w:rsidP="00380810">
      <w:r>
        <w:t>Dès la première période de confinement et les annonces gouvernementales, les Urssaf ont con</w:t>
      </w:r>
      <w:r w:rsidR="001E1FD2">
        <w:t>s</w:t>
      </w:r>
      <w:r>
        <w:t>taté une nette baisse des encaissements globaux, toutes cotisations et contributions confondues.</w:t>
      </w:r>
    </w:p>
    <w:p w14:paraId="12D6378C" w14:textId="77777777" w:rsidR="00DB6E79" w:rsidRDefault="00DB6E79" w:rsidP="00380810"/>
    <w:p w14:paraId="3F1DAB35" w14:textId="143D700C" w:rsidR="00106F7A" w:rsidRDefault="009C7DB3" w:rsidP="00380810">
      <w:r>
        <w:t>Afin de donner de la visibilité aux AOM affectataires de ces recettes et adapter les reversements à la situation, d</w:t>
      </w:r>
      <w:r w:rsidR="00DB6E79">
        <w:t xml:space="preserve">eux </w:t>
      </w:r>
      <w:r w:rsidR="00106F7A">
        <w:t>actions</w:t>
      </w:r>
      <w:r w:rsidR="00DB6E79">
        <w:t xml:space="preserve"> ont alors été mises en place.</w:t>
      </w:r>
    </w:p>
    <w:p w14:paraId="703DF6AE" w14:textId="77777777" w:rsidR="00106F7A" w:rsidRDefault="00106F7A" w:rsidP="00380810"/>
    <w:p w14:paraId="142D56AB" w14:textId="77777777" w:rsidR="001A3AC2" w:rsidRDefault="00DB6E79" w:rsidP="00106F7A">
      <w:pPr>
        <w:pStyle w:val="Paragraphedeliste"/>
        <w:numPr>
          <w:ilvl w:val="0"/>
          <w:numId w:val="2"/>
        </w:numPr>
      </w:pPr>
      <w:r>
        <w:t xml:space="preserve">Une </w:t>
      </w:r>
      <w:r w:rsidR="00106F7A">
        <w:t>prévision mensuelle des</w:t>
      </w:r>
      <w:r>
        <w:t xml:space="preserve"> encaissements affectés au VM et reversé aux AOM a été réali</w:t>
      </w:r>
      <w:r w:rsidR="00106F7A">
        <w:t>s</w:t>
      </w:r>
      <w:r>
        <w:t>ée</w:t>
      </w:r>
      <w:r w:rsidR="00106F7A">
        <w:t xml:space="preserve"> sur la base des premiers constats encaissement de l’exigibilité courante au 5 et de l’exigibilité précédente au 15, et de </w:t>
      </w:r>
      <w:r w:rsidR="00AD1D1D">
        <w:t>structure des</w:t>
      </w:r>
      <w:r w:rsidR="00106F7A">
        <w:t xml:space="preserve"> contributeurs au VM. Partagée chaque mois avec le </w:t>
      </w:r>
      <w:proofErr w:type="spellStart"/>
      <w:r w:rsidR="00106F7A">
        <w:t>Gart</w:t>
      </w:r>
      <w:proofErr w:type="spellEnd"/>
      <w:r w:rsidR="00106F7A">
        <w:t xml:space="preserve"> depuis avril 2020, cette prévision a permis </w:t>
      </w:r>
      <w:r w:rsidR="00AD1D1D">
        <w:t xml:space="preserve">de donner de la visibilité au AOM sur leurs recettes, </w:t>
      </w:r>
      <w:r w:rsidR="00106F7A">
        <w:t xml:space="preserve">d’adapter conjointement les acomptes versés aux AOM et </w:t>
      </w:r>
      <w:r w:rsidR="00AD1D1D">
        <w:t xml:space="preserve">de </w:t>
      </w:r>
      <w:r w:rsidR="00106F7A">
        <w:t>limiter les risques de régularisations négatives deux mois plus tard.</w:t>
      </w:r>
    </w:p>
    <w:p w14:paraId="2A628F80" w14:textId="77777777" w:rsidR="00106F7A" w:rsidRDefault="00106F7A" w:rsidP="00106F7A">
      <w:pPr>
        <w:pStyle w:val="Paragraphedeliste"/>
      </w:pPr>
    </w:p>
    <w:p w14:paraId="2227EFE1" w14:textId="11129701" w:rsidR="00106F7A" w:rsidRDefault="00106F7A" w:rsidP="00106F7A">
      <w:pPr>
        <w:pStyle w:val="Paragraphedeliste"/>
        <w:numPr>
          <w:ilvl w:val="0"/>
          <w:numId w:val="2"/>
        </w:numPr>
      </w:pPr>
      <w:r>
        <w:t xml:space="preserve">Deux tableaux de suivi des cotisations liquidées et encaissement VM ont été développés par l’Urssaf </w:t>
      </w:r>
      <w:r w:rsidR="00AD1D1D">
        <w:t>C</w:t>
      </w:r>
      <w:r>
        <w:t>aisse nationale et diffusés aux AOM à compter de juillet 2020, permettant de bien distinguer b</w:t>
      </w:r>
      <w:r w:rsidR="00AD1D1D">
        <w:t>a</w:t>
      </w:r>
      <w:r>
        <w:t>isses de cotisations liquidées et reste</w:t>
      </w:r>
      <w:r w:rsidR="00876BD1">
        <w:t>s</w:t>
      </w:r>
      <w:r>
        <w:t xml:space="preserve"> à recouvrer</w:t>
      </w:r>
      <w:r w:rsidR="00876BD1">
        <w:t xml:space="preserve"> (RAR)</w:t>
      </w:r>
      <w:r>
        <w:t xml:space="preserve"> sur ces cotisations.</w:t>
      </w:r>
    </w:p>
    <w:p w14:paraId="712A3E10" w14:textId="77777777" w:rsidR="00106F7A" w:rsidRDefault="00106F7A" w:rsidP="00380810"/>
    <w:p w14:paraId="7C9BD5E8" w14:textId="77777777" w:rsidR="00106F7A" w:rsidRDefault="00106F7A" w:rsidP="00106F7A">
      <w:r>
        <w:t xml:space="preserve">A fin 2020, </w:t>
      </w:r>
      <w:r w:rsidRPr="00106F7A">
        <w:rPr>
          <w:b/>
          <w:bCs/>
        </w:rPr>
        <w:t xml:space="preserve">la situation des encaissements </w:t>
      </w:r>
      <w:r w:rsidR="001E1FD2" w:rsidRPr="00106F7A">
        <w:rPr>
          <w:b/>
          <w:bCs/>
        </w:rPr>
        <w:t>affectés</w:t>
      </w:r>
      <w:r w:rsidRPr="00106F7A">
        <w:rPr>
          <w:b/>
          <w:bCs/>
        </w:rPr>
        <w:t xml:space="preserve"> aux VM</w:t>
      </w:r>
      <w:r>
        <w:t xml:space="preserve"> et reversés aux AOM </w:t>
      </w:r>
      <w:r w:rsidRPr="00106F7A">
        <w:rPr>
          <w:b/>
          <w:bCs/>
        </w:rPr>
        <w:t>se trouve moins dégradée qu’imaginé initialement</w:t>
      </w:r>
      <w:r>
        <w:t xml:space="preserve">. Les encaissements Urssaf 2020 affectés au VM, toutes périodes d’emploi confondues, s’élèvent à 8 689 M€ contre 9 158 M€ en 2019, soit </w:t>
      </w:r>
      <w:r w:rsidRPr="00106F7A">
        <w:rPr>
          <w:b/>
          <w:bCs/>
        </w:rPr>
        <w:t>une ba</w:t>
      </w:r>
      <w:r w:rsidR="001E1FD2">
        <w:rPr>
          <w:b/>
          <w:bCs/>
        </w:rPr>
        <w:t>i</w:t>
      </w:r>
      <w:r w:rsidRPr="00106F7A">
        <w:rPr>
          <w:b/>
          <w:bCs/>
        </w:rPr>
        <w:t>sse de 469 M€</w:t>
      </w:r>
      <w:r w:rsidR="001E1FD2">
        <w:rPr>
          <w:b/>
          <w:bCs/>
        </w:rPr>
        <w:br/>
      </w:r>
      <w:r w:rsidRPr="00106F7A">
        <w:rPr>
          <w:b/>
          <w:bCs/>
        </w:rPr>
        <w:t>(-5,1%).</w:t>
      </w:r>
    </w:p>
    <w:p w14:paraId="016A2D48" w14:textId="77777777" w:rsidR="008463A1" w:rsidRDefault="008463A1" w:rsidP="00106F7A">
      <w:r>
        <w:t xml:space="preserve">Cette baisse des encaissements est un peu plus importante pour IDFM (-5,8%) que pour </w:t>
      </w:r>
      <w:r w:rsidR="00890242">
        <w:t>l’ensemble des</w:t>
      </w:r>
      <w:r>
        <w:t xml:space="preserve"> autres AOM de province et des DOM (-4,5%)</w:t>
      </w:r>
    </w:p>
    <w:p w14:paraId="6157CA58" w14:textId="77777777" w:rsidR="008463A1" w:rsidRDefault="008463A1" w:rsidP="00106F7A"/>
    <w:p w14:paraId="7FFA6BBB" w14:textId="77777777" w:rsidR="00106F7A" w:rsidRDefault="008463A1" w:rsidP="00106F7A">
      <w:r w:rsidRPr="008463A1">
        <w:rPr>
          <w:b/>
          <w:bCs/>
        </w:rPr>
        <w:t>Deux causes principales</w:t>
      </w:r>
      <w:r>
        <w:t xml:space="preserve"> contribuent à cette baisse des encaissements</w:t>
      </w:r>
      <w:r w:rsidR="00106F7A">
        <w:t> :</w:t>
      </w:r>
    </w:p>
    <w:p w14:paraId="4503E177" w14:textId="77777777" w:rsidR="00106F7A" w:rsidRDefault="00106F7A" w:rsidP="00106F7A">
      <w:pPr>
        <w:pStyle w:val="Paragraphedeliste"/>
        <w:numPr>
          <w:ilvl w:val="0"/>
          <w:numId w:val="1"/>
        </w:numPr>
      </w:pPr>
      <w:proofErr w:type="gramStart"/>
      <w:r w:rsidRPr="008463A1">
        <w:rPr>
          <w:b/>
          <w:bCs/>
        </w:rPr>
        <w:t>la</w:t>
      </w:r>
      <w:proofErr w:type="gramEnd"/>
      <w:r w:rsidRPr="008463A1">
        <w:rPr>
          <w:b/>
          <w:bCs/>
        </w:rPr>
        <w:t xml:space="preserve"> baisse des cotisations liquidées</w:t>
      </w:r>
      <w:r>
        <w:t xml:space="preserve"> pour 2/5</w:t>
      </w:r>
      <w:r w:rsidRPr="00DB6E79">
        <w:rPr>
          <w:vertAlign w:val="superscript"/>
        </w:rPr>
        <w:t>ème</w:t>
      </w:r>
      <w:r>
        <w:t xml:space="preserve"> </w:t>
      </w:r>
      <w:r w:rsidR="001E1FD2">
        <w:t>(2,1 points)</w:t>
      </w:r>
      <w:r>
        <w:t>,</w:t>
      </w:r>
    </w:p>
    <w:p w14:paraId="40ED67E0" w14:textId="784023C6" w:rsidR="00106F7A" w:rsidRDefault="00106F7A" w:rsidP="00106F7A">
      <w:pPr>
        <w:pStyle w:val="Paragraphedeliste"/>
        <w:numPr>
          <w:ilvl w:val="0"/>
          <w:numId w:val="1"/>
        </w:numPr>
      </w:pPr>
      <w:proofErr w:type="gramStart"/>
      <w:r w:rsidRPr="008463A1">
        <w:rPr>
          <w:b/>
          <w:bCs/>
        </w:rPr>
        <w:t>l</w:t>
      </w:r>
      <w:r w:rsidR="009C7DB3">
        <w:rPr>
          <w:b/>
          <w:bCs/>
        </w:rPr>
        <w:t>e</w:t>
      </w:r>
      <w:proofErr w:type="gramEnd"/>
      <w:r w:rsidR="009C7DB3">
        <w:rPr>
          <w:b/>
          <w:bCs/>
        </w:rPr>
        <w:t xml:space="preserve"> report de paiement des cotisations, </w:t>
      </w:r>
      <w:r w:rsidR="008053C6">
        <w:rPr>
          <w:b/>
          <w:bCs/>
        </w:rPr>
        <w:t>s</w:t>
      </w:r>
      <w:r w:rsidR="009C7DB3">
        <w:rPr>
          <w:b/>
          <w:bCs/>
        </w:rPr>
        <w:t xml:space="preserve">e traduisant par une </w:t>
      </w:r>
      <w:r w:rsidRPr="008463A1">
        <w:rPr>
          <w:b/>
          <w:bCs/>
        </w:rPr>
        <w:t>dégradation des RAR sur les périodes exigibles dans l’année</w:t>
      </w:r>
      <w:r>
        <w:t xml:space="preserve"> pour 3/5</w:t>
      </w:r>
      <w:r w:rsidRPr="00DB6E79">
        <w:rPr>
          <w:vertAlign w:val="superscript"/>
        </w:rPr>
        <w:t>ème</w:t>
      </w:r>
      <w:r w:rsidR="008463A1">
        <w:t xml:space="preserve"> (</w:t>
      </w:r>
      <w:r w:rsidR="001E1FD2">
        <w:t>3,1 points).</w:t>
      </w:r>
    </w:p>
    <w:p w14:paraId="6EB6C773" w14:textId="77777777" w:rsidR="00AD1D1D" w:rsidRDefault="00AD1D1D" w:rsidP="008463A1"/>
    <w:p w14:paraId="750E8720" w14:textId="77777777" w:rsidR="008463A1" w:rsidRDefault="008463A1" w:rsidP="008463A1">
      <w:r>
        <w:lastRenderedPageBreak/>
        <w:t>La part respective de ces deux effets est identique pour IDMF et pour les autres AOM.</w:t>
      </w:r>
    </w:p>
    <w:p w14:paraId="4962DCAC" w14:textId="77777777" w:rsidR="00106F7A" w:rsidRDefault="00106F7A" w:rsidP="00380810"/>
    <w:p w14:paraId="70B88AAC" w14:textId="77777777" w:rsidR="00106F7A" w:rsidRDefault="00106F7A" w:rsidP="00380810"/>
    <w:p w14:paraId="72ACE0AB" w14:textId="77777777" w:rsidR="001A3AC2" w:rsidRDefault="006F5003" w:rsidP="006F5003">
      <w:pPr>
        <w:jc w:val="center"/>
      </w:pPr>
      <w:r w:rsidRPr="006F5003">
        <w:rPr>
          <w:noProof/>
        </w:rPr>
        <w:drawing>
          <wp:inline distT="0" distB="0" distL="0" distR="0" wp14:anchorId="067C03E3" wp14:editId="5EADC1C0">
            <wp:extent cx="4419600" cy="1225554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71" cy="124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3E772" w14:textId="77777777" w:rsidR="001A3AC2" w:rsidRDefault="001A3AC2" w:rsidP="00380810"/>
    <w:p w14:paraId="7B42ECD5" w14:textId="77777777" w:rsidR="001A3AC2" w:rsidRDefault="001A3AC2" w:rsidP="00380810"/>
    <w:p w14:paraId="5184A149" w14:textId="77777777" w:rsidR="001A3AC2" w:rsidRDefault="006F5003" w:rsidP="006F5003">
      <w:pPr>
        <w:jc w:val="center"/>
      </w:pPr>
      <w:r w:rsidRPr="006F5003">
        <w:rPr>
          <w:noProof/>
        </w:rPr>
        <w:drawing>
          <wp:inline distT="0" distB="0" distL="0" distR="0" wp14:anchorId="4AEEDBFC" wp14:editId="487A2857">
            <wp:extent cx="5756910" cy="116205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42EC" w14:textId="77777777" w:rsidR="00432B9F" w:rsidRDefault="00432B9F" w:rsidP="00380810"/>
    <w:p w14:paraId="05BC025F" w14:textId="77777777" w:rsidR="00432B9F" w:rsidRDefault="00432B9F" w:rsidP="00380810"/>
    <w:p w14:paraId="18B3B78D" w14:textId="77777777" w:rsidR="00432B9F" w:rsidRDefault="00432B9F" w:rsidP="00380810"/>
    <w:p w14:paraId="4195692D" w14:textId="77777777" w:rsidR="00432B9F" w:rsidRDefault="00432B9F" w:rsidP="00380810"/>
    <w:p w14:paraId="1BF0ABBB" w14:textId="77777777" w:rsidR="00432B9F" w:rsidRDefault="00432B9F" w:rsidP="00380810"/>
    <w:p w14:paraId="7AF8EA3D" w14:textId="230B636D" w:rsidR="001E1FD2" w:rsidRPr="007C6776" w:rsidRDefault="007C6776" w:rsidP="00432B9F">
      <w:pPr>
        <w:jc w:val="left"/>
        <w:rPr>
          <w:b/>
          <w:color w:val="40B8BB"/>
          <w:sz w:val="24"/>
          <w:szCs w:val="24"/>
        </w:rPr>
      </w:pPr>
      <w:r w:rsidRPr="007C6776">
        <w:rPr>
          <w:b/>
          <w:color w:val="40B8BB"/>
          <w:sz w:val="24"/>
          <w:szCs w:val="24"/>
        </w:rPr>
        <w:t>2</w:t>
      </w:r>
      <w:r w:rsidR="001E1FD2" w:rsidRPr="007C6776">
        <w:rPr>
          <w:b/>
          <w:color w:val="40B8BB"/>
          <w:sz w:val="24"/>
          <w:szCs w:val="24"/>
        </w:rPr>
        <w:t xml:space="preserve"> - Une meilleure tenue de l’assiette VM </w:t>
      </w:r>
      <w:r w:rsidR="00DC0132">
        <w:rPr>
          <w:b/>
          <w:color w:val="40B8BB"/>
          <w:sz w:val="24"/>
          <w:szCs w:val="24"/>
        </w:rPr>
        <w:t>en comparaison de</w:t>
      </w:r>
      <w:r w:rsidR="001E1FD2" w:rsidRPr="007C6776">
        <w:rPr>
          <w:b/>
          <w:color w:val="40B8BB"/>
          <w:sz w:val="24"/>
          <w:szCs w:val="24"/>
        </w:rPr>
        <w:t xml:space="preserve"> l’assiette déplafonnée des cotisations patronales de sécurité sociale</w:t>
      </w:r>
    </w:p>
    <w:p w14:paraId="3A3F270A" w14:textId="77777777" w:rsidR="00145E2B" w:rsidRDefault="00145E2B" w:rsidP="001E1FD2"/>
    <w:p w14:paraId="23C96E4C" w14:textId="77777777" w:rsidR="00145E2B" w:rsidRDefault="00145E2B" w:rsidP="001E1FD2"/>
    <w:p w14:paraId="01990DEA" w14:textId="77777777" w:rsidR="00145E2B" w:rsidRDefault="00145E2B" w:rsidP="001E1FD2">
      <w:r>
        <w:t xml:space="preserve">Les cotisations liquidées sont liées à deux facteurs : </w:t>
      </w:r>
    </w:p>
    <w:p w14:paraId="67B7753D" w14:textId="77777777" w:rsidR="00145E2B" w:rsidRDefault="00145E2B" w:rsidP="009A2711">
      <w:pPr>
        <w:pStyle w:val="Paragraphedeliste"/>
        <w:numPr>
          <w:ilvl w:val="0"/>
          <w:numId w:val="4"/>
        </w:numPr>
      </w:pPr>
      <w:r>
        <w:t xml:space="preserve">L’assiette des </w:t>
      </w:r>
      <w:r w:rsidR="009A2711">
        <w:t>cotisations, évoluant</w:t>
      </w:r>
      <w:r>
        <w:t xml:space="preserve"> en fonction des effectifs rémunéré</w:t>
      </w:r>
      <w:r w:rsidR="009A2711">
        <w:t>s</w:t>
      </w:r>
      <w:r>
        <w:t xml:space="preserve"> et des salaires moyens mais aussi des modifications de</w:t>
      </w:r>
      <w:r w:rsidR="00AD1D1D">
        <w:t>s</w:t>
      </w:r>
      <w:r>
        <w:t xml:space="preserve"> périmètre</w:t>
      </w:r>
      <w:r w:rsidR="009A2711">
        <w:t>s</w:t>
      </w:r>
      <w:r>
        <w:t xml:space="preserve"> géographiques où </w:t>
      </w:r>
      <w:r w:rsidR="009A2711">
        <w:t>sont</w:t>
      </w:r>
      <w:r>
        <w:t xml:space="preserve"> instauré</w:t>
      </w:r>
      <w:r w:rsidR="009A2711">
        <w:t>s</w:t>
      </w:r>
      <w:r>
        <w:t xml:space="preserve"> le versement mobilité</w:t>
      </w:r>
      <w:r w:rsidR="009A2711">
        <w:t> ;</w:t>
      </w:r>
    </w:p>
    <w:p w14:paraId="04199DF3" w14:textId="77777777" w:rsidR="00145E2B" w:rsidRDefault="00145E2B" w:rsidP="009A2711">
      <w:pPr>
        <w:pStyle w:val="Paragraphedeliste"/>
        <w:numPr>
          <w:ilvl w:val="0"/>
          <w:numId w:val="4"/>
        </w:numPr>
      </w:pPr>
      <w:r>
        <w:t xml:space="preserve">Le taux de cotisation, évoluant </w:t>
      </w:r>
      <w:r w:rsidR="009A2711">
        <w:t xml:space="preserve">quant à lui au gré des </w:t>
      </w:r>
      <w:r>
        <w:t xml:space="preserve">délibérations des AOM, mais </w:t>
      </w:r>
      <w:r w:rsidR="00AD1D1D">
        <w:t>étant</w:t>
      </w:r>
      <w:r>
        <w:t xml:space="preserve"> aussi </w:t>
      </w:r>
      <w:r w:rsidR="00AD1D1D">
        <w:t>adapté dans le cadre du dispositif d’</w:t>
      </w:r>
      <w:r>
        <w:t>assujettissement progressif.</w:t>
      </w:r>
    </w:p>
    <w:p w14:paraId="65CD2AB9" w14:textId="77777777" w:rsidR="00145E2B" w:rsidRDefault="00145E2B" w:rsidP="001E1FD2"/>
    <w:p w14:paraId="0AECE4EF" w14:textId="77777777" w:rsidR="00145E2B" w:rsidRDefault="00145E2B" w:rsidP="001E1FD2">
      <w:r>
        <w:t>S</w:t>
      </w:r>
      <w:r w:rsidR="009A2711">
        <w:t xml:space="preserve">i l’évolution </w:t>
      </w:r>
      <w:r>
        <w:t>d</w:t>
      </w:r>
      <w:r w:rsidR="009A2711">
        <w:t>u</w:t>
      </w:r>
      <w:r>
        <w:t xml:space="preserve"> taux</w:t>
      </w:r>
      <w:r w:rsidR="009A2711">
        <w:t xml:space="preserve"> de cotisation</w:t>
      </w:r>
      <w:r>
        <w:t xml:space="preserve"> est difficile à aborder, du fait des disparités existantes entre AOM, l’évolution de l</w:t>
      </w:r>
      <w:r w:rsidR="00AD1D1D">
        <w:t xml:space="preserve">’assiette salariale </w:t>
      </w:r>
      <w:r w:rsidR="009A2711">
        <w:t>fait l’objet d’un suivi précis par l’Urssaf Caisse nationale.</w:t>
      </w:r>
    </w:p>
    <w:p w14:paraId="3D17639D" w14:textId="77777777" w:rsidR="009A2711" w:rsidRDefault="009A2711" w:rsidP="001E1FD2"/>
    <w:p w14:paraId="4555601E" w14:textId="6E97D5C1" w:rsidR="008415A2" w:rsidRDefault="009A2711" w:rsidP="001E1FD2">
      <w:pPr>
        <w:rPr>
          <w:b/>
          <w:bCs/>
        </w:rPr>
      </w:pPr>
      <w:r>
        <w:t>Ramené aux périodes d’emploi exigibles en 2020 par rapport à 2019</w:t>
      </w:r>
      <w:r w:rsidR="00293F9D">
        <w:t>,</w:t>
      </w:r>
      <w:r>
        <w:t xml:space="preserve"> </w:t>
      </w:r>
      <w:r w:rsidRPr="00293F9D">
        <w:rPr>
          <w:b/>
          <w:bCs/>
        </w:rPr>
        <w:t>l’évolution de la masse salariale assujettie au versement mobilité est en recul de</w:t>
      </w:r>
      <w:r w:rsidR="008415A2" w:rsidRPr="00293F9D">
        <w:rPr>
          <w:b/>
          <w:bCs/>
        </w:rPr>
        <w:t xml:space="preserve"> </w:t>
      </w:r>
      <w:r w:rsidRPr="00293F9D">
        <w:rPr>
          <w:b/>
          <w:bCs/>
        </w:rPr>
        <w:t xml:space="preserve">3,3%. L’assiette du versement mobilité montre ainsi un moindre </w:t>
      </w:r>
      <w:r w:rsidR="008415A2" w:rsidRPr="00293F9D">
        <w:rPr>
          <w:b/>
          <w:bCs/>
        </w:rPr>
        <w:t>recul</w:t>
      </w:r>
      <w:r w:rsidRPr="00293F9D">
        <w:rPr>
          <w:b/>
          <w:bCs/>
        </w:rPr>
        <w:t xml:space="preserve"> que l’assiette </w:t>
      </w:r>
      <w:r w:rsidR="008415A2" w:rsidRPr="00293F9D">
        <w:rPr>
          <w:b/>
          <w:bCs/>
        </w:rPr>
        <w:t>déplafonnée</w:t>
      </w:r>
      <w:r w:rsidRPr="00293F9D">
        <w:rPr>
          <w:b/>
          <w:bCs/>
        </w:rPr>
        <w:t xml:space="preserve"> totale</w:t>
      </w:r>
      <w:r w:rsidR="00293F9D" w:rsidRPr="00293F9D">
        <w:rPr>
          <w:b/>
          <w:bCs/>
        </w:rPr>
        <w:t xml:space="preserve"> qui elle </w:t>
      </w:r>
      <w:r w:rsidR="00AD1D1D">
        <w:rPr>
          <w:b/>
          <w:bCs/>
        </w:rPr>
        <w:t>est en baisse</w:t>
      </w:r>
      <w:r w:rsidR="00293F9D" w:rsidRPr="00293F9D">
        <w:rPr>
          <w:b/>
          <w:bCs/>
        </w:rPr>
        <w:t xml:space="preserve"> de 4,0%</w:t>
      </w:r>
      <w:r w:rsidRPr="00293F9D">
        <w:rPr>
          <w:b/>
          <w:bCs/>
        </w:rPr>
        <w:t>.</w:t>
      </w:r>
    </w:p>
    <w:p w14:paraId="77552FD1" w14:textId="77777777" w:rsidR="00293F9D" w:rsidRPr="00293F9D" w:rsidRDefault="00293F9D" w:rsidP="001E1FD2"/>
    <w:p w14:paraId="1A186BB9" w14:textId="3E14AB9F" w:rsidR="009A2711" w:rsidRDefault="009A2711" w:rsidP="001E1FD2">
      <w:r>
        <w:t>Cette meilleure tenue s’explique par un poids</w:t>
      </w:r>
      <w:r w:rsidR="008415A2">
        <w:t xml:space="preserve"> plus important</w:t>
      </w:r>
      <w:r>
        <w:t xml:space="preserve"> du secteur </w:t>
      </w:r>
      <w:r w:rsidRPr="008053C6">
        <w:t>public</w:t>
      </w:r>
      <w:r w:rsidR="00BE3187" w:rsidRPr="008053C6">
        <w:t xml:space="preserve"> (</w:t>
      </w:r>
      <w:r w:rsidR="00531323" w:rsidRPr="008053C6">
        <w:t>25</w:t>
      </w:r>
      <w:r w:rsidR="00BE3187" w:rsidRPr="008053C6">
        <w:t xml:space="preserve">% vs </w:t>
      </w:r>
      <w:r w:rsidR="00531323" w:rsidRPr="008053C6">
        <w:t>20</w:t>
      </w:r>
      <w:r w:rsidR="00BE3187" w:rsidRPr="008053C6">
        <w:t>%)</w:t>
      </w:r>
      <w:r w:rsidR="008415A2" w:rsidRPr="008053C6">
        <w:t>,</w:t>
      </w:r>
      <w:r w:rsidRPr="008053C6">
        <w:t xml:space="preserve"> auquel</w:t>
      </w:r>
      <w:r>
        <w:t xml:space="preserve"> ne s’</w:t>
      </w:r>
      <w:r w:rsidR="008415A2">
        <w:t>appliquent</w:t>
      </w:r>
      <w:r>
        <w:t xml:space="preserve"> pas les mesures de </w:t>
      </w:r>
      <w:r w:rsidR="008415A2">
        <w:t>report du paiement des cotis</w:t>
      </w:r>
      <w:r w:rsidR="00AD1D1D">
        <w:t>at</w:t>
      </w:r>
      <w:r w:rsidR="008415A2">
        <w:t>ions et contributions sociales, et l’exclusion des entreprises de moins de 11 salarié</w:t>
      </w:r>
      <w:r w:rsidR="00C044A9">
        <w:t>s</w:t>
      </w:r>
      <w:r w:rsidR="008415A2">
        <w:t>, ayant eu plus fortement recour</w:t>
      </w:r>
      <w:r w:rsidR="00C044A9">
        <w:t>s</w:t>
      </w:r>
      <w:r w:rsidR="008415A2">
        <w:t xml:space="preserve"> à l’activité partielle, dans l’assiette du versement mobilité.</w:t>
      </w:r>
    </w:p>
    <w:p w14:paraId="35E9695B" w14:textId="77777777" w:rsidR="008415A2" w:rsidRDefault="008415A2" w:rsidP="001E1FD2"/>
    <w:p w14:paraId="567B9708" w14:textId="61505817" w:rsidR="008415A2" w:rsidRDefault="008415A2" w:rsidP="001E1FD2">
      <w:r>
        <w:t xml:space="preserve">A un niveau plus fin, on constate un </w:t>
      </w:r>
      <w:r w:rsidRPr="00293F9D">
        <w:rPr>
          <w:b/>
          <w:bCs/>
        </w:rPr>
        <w:t>recul de 5,0% de l’assiette VM sur le secteur privé</w:t>
      </w:r>
      <w:r>
        <w:t xml:space="preserve">, </w:t>
      </w:r>
      <w:r w:rsidR="00293F9D">
        <w:t>contre</w:t>
      </w:r>
      <w:r>
        <w:t xml:space="preserve"> </w:t>
      </w:r>
      <w:r w:rsidR="0068520E">
        <w:t>un recul de</w:t>
      </w:r>
      <w:r>
        <w:t xml:space="preserve"> 5,4% </w:t>
      </w:r>
      <w:r w:rsidR="00293F9D">
        <w:t>pour</w:t>
      </w:r>
      <w:r>
        <w:t xml:space="preserve"> l’assiette déplafonnée</w:t>
      </w:r>
      <w:r w:rsidR="00293F9D">
        <w:t xml:space="preserve"> totale</w:t>
      </w:r>
      <w:r>
        <w:t>.</w:t>
      </w:r>
    </w:p>
    <w:p w14:paraId="5E5DF8FA" w14:textId="0276970B" w:rsidR="008415A2" w:rsidRDefault="008415A2" w:rsidP="001E1FD2">
      <w:r>
        <w:t xml:space="preserve">Par différence, </w:t>
      </w:r>
      <w:r w:rsidR="00293F9D">
        <w:t xml:space="preserve">on constate </w:t>
      </w:r>
      <w:r w:rsidR="00293F9D" w:rsidRPr="00293F9D">
        <w:rPr>
          <w:b/>
          <w:bCs/>
        </w:rPr>
        <w:t xml:space="preserve">une progression de 2,1% de </w:t>
      </w:r>
      <w:r w:rsidRPr="00293F9D">
        <w:rPr>
          <w:b/>
          <w:bCs/>
        </w:rPr>
        <w:t xml:space="preserve">l’assiette VM sur le secteur </w:t>
      </w:r>
      <w:r w:rsidR="00293F9D" w:rsidRPr="00293F9D">
        <w:rPr>
          <w:b/>
          <w:bCs/>
        </w:rPr>
        <w:t>public</w:t>
      </w:r>
      <w:r w:rsidR="00293F9D">
        <w:t xml:space="preserve">, contre </w:t>
      </w:r>
      <w:r w:rsidR="0068520E">
        <w:t xml:space="preserve">une progression de </w:t>
      </w:r>
      <w:r w:rsidR="00293F9D">
        <w:t>1,7% pour l’assiette déplafonnée totale.</w:t>
      </w:r>
    </w:p>
    <w:p w14:paraId="56257E50" w14:textId="77777777" w:rsidR="0076000F" w:rsidRDefault="0076000F" w:rsidP="001E1FD2"/>
    <w:p w14:paraId="776BA7B0" w14:textId="77777777" w:rsidR="003313A8" w:rsidRDefault="003313A8" w:rsidP="001E1FD2"/>
    <w:p w14:paraId="780D08F7" w14:textId="77777777" w:rsidR="0076000F" w:rsidRDefault="0076000F" w:rsidP="001E1FD2">
      <w:r w:rsidRPr="0076000F">
        <w:rPr>
          <w:noProof/>
        </w:rPr>
        <w:lastRenderedPageBreak/>
        <w:drawing>
          <wp:inline distT="0" distB="0" distL="0" distR="0" wp14:anchorId="116A6AA0" wp14:editId="3A892782">
            <wp:extent cx="5756910" cy="572389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DD9A7" w14:textId="77777777" w:rsidR="00A33733" w:rsidRPr="00A33733" w:rsidRDefault="00A33733" w:rsidP="00380810"/>
    <w:p w14:paraId="3F33A120" w14:textId="77777777" w:rsidR="00A33733" w:rsidRDefault="00A33733" w:rsidP="00380810">
      <w:pPr>
        <w:rPr>
          <w:color w:val="1D457D"/>
        </w:rPr>
      </w:pPr>
    </w:p>
    <w:p w14:paraId="3AB93113" w14:textId="745AA830" w:rsidR="00293F9D" w:rsidRDefault="00293F9D" w:rsidP="00380810">
      <w:pPr>
        <w:rPr>
          <w:color w:val="1D457D"/>
        </w:rPr>
      </w:pPr>
    </w:p>
    <w:p w14:paraId="54F32303" w14:textId="77777777" w:rsidR="000314AE" w:rsidRDefault="000314AE" w:rsidP="00380810">
      <w:pPr>
        <w:rPr>
          <w:color w:val="1D457D"/>
        </w:rPr>
      </w:pPr>
    </w:p>
    <w:p w14:paraId="6D9C87AE" w14:textId="77777777" w:rsidR="00293F9D" w:rsidRDefault="00293F9D" w:rsidP="00380810">
      <w:pPr>
        <w:rPr>
          <w:color w:val="1D457D"/>
        </w:rPr>
      </w:pPr>
    </w:p>
    <w:p w14:paraId="290E1FFD" w14:textId="77777777" w:rsidR="0070220C" w:rsidRPr="007C6776" w:rsidRDefault="0070220C" w:rsidP="0070220C">
      <w:pPr>
        <w:rPr>
          <w:b/>
          <w:color w:val="40B8BB"/>
          <w:sz w:val="24"/>
          <w:szCs w:val="24"/>
        </w:rPr>
      </w:pPr>
      <w:r w:rsidRPr="007C6776">
        <w:rPr>
          <w:b/>
          <w:color w:val="40B8BB"/>
          <w:sz w:val="24"/>
          <w:szCs w:val="24"/>
        </w:rPr>
        <w:t>3 –</w:t>
      </w:r>
      <w:r w:rsidR="00DE419C">
        <w:rPr>
          <w:b/>
          <w:color w:val="40B8BB"/>
          <w:sz w:val="24"/>
          <w:szCs w:val="24"/>
        </w:rPr>
        <w:t xml:space="preserve"> Des restes à recouvrer pour partie comblés par des paiements à 3 mois, à compléter par la mise en place d’échéancier</w:t>
      </w:r>
      <w:r w:rsidR="00256A65">
        <w:rPr>
          <w:b/>
          <w:color w:val="40B8BB"/>
          <w:sz w:val="24"/>
          <w:szCs w:val="24"/>
        </w:rPr>
        <w:t>s</w:t>
      </w:r>
      <w:r w:rsidR="00DE419C">
        <w:rPr>
          <w:b/>
          <w:color w:val="40B8BB"/>
          <w:sz w:val="24"/>
          <w:szCs w:val="24"/>
        </w:rPr>
        <w:t xml:space="preserve"> sur les dettes restantes</w:t>
      </w:r>
    </w:p>
    <w:p w14:paraId="1DEDF777" w14:textId="77777777" w:rsidR="00DE419C" w:rsidRDefault="00DE419C" w:rsidP="00380810"/>
    <w:p w14:paraId="4D3B5FCE" w14:textId="3A08BA2B" w:rsidR="008D1D2A" w:rsidRDefault="00DE419C" w:rsidP="00380810">
      <w:r>
        <w:t xml:space="preserve">Dès l’instauration du premier confinement, </w:t>
      </w:r>
      <w:r w:rsidR="008D1D2A">
        <w:t xml:space="preserve">à la possibilité ouverte par le gouvernement aux entreprises rencontrant des difficultés de trésorerie de </w:t>
      </w:r>
      <w:r w:rsidR="00C044A9">
        <w:t>reporter le paiement de leurs cotisations</w:t>
      </w:r>
      <w:r w:rsidR="008D1D2A">
        <w:t xml:space="preserve"> sans s’exposer à des majorations de retard, l</w:t>
      </w:r>
      <w:r w:rsidR="001C33FF">
        <w:t>’</w:t>
      </w:r>
      <w:r w:rsidR="008D1D2A">
        <w:t xml:space="preserve">Urssaf a associé </w:t>
      </w:r>
      <w:r w:rsidR="00C044A9">
        <w:t>le principe d’un report</w:t>
      </w:r>
      <w:r w:rsidR="008D1D2A">
        <w:t xml:space="preserve"> de 3 mois. Un nombre significatif d’entreprise</w:t>
      </w:r>
      <w:r w:rsidR="00BE3187">
        <w:t>s</w:t>
      </w:r>
      <w:r w:rsidR="008D1D2A">
        <w:t xml:space="preserve">, retrouvant des capacités de trésorerie, et incitées par </w:t>
      </w:r>
      <w:r w:rsidR="001C33FF">
        <w:t>l’</w:t>
      </w:r>
      <w:r w:rsidR="008D1D2A">
        <w:t xml:space="preserve">Urssaf, ont </w:t>
      </w:r>
      <w:r w:rsidR="00C044A9">
        <w:t xml:space="preserve">alors </w:t>
      </w:r>
      <w:r w:rsidR="008D1D2A">
        <w:t xml:space="preserve">réglé leurs dettes à l’issue de ce délai. </w:t>
      </w:r>
    </w:p>
    <w:p w14:paraId="79D737ED" w14:textId="77777777" w:rsidR="001C33FF" w:rsidRDefault="001C33FF" w:rsidP="00380810"/>
    <w:p w14:paraId="508973FC" w14:textId="1D15505F" w:rsidR="00DE419C" w:rsidRDefault="008D1D2A" w:rsidP="00380810">
      <w:r w:rsidRPr="00293F9D">
        <w:rPr>
          <w:b/>
          <w:bCs/>
        </w:rPr>
        <w:t>Les restes à recouvrer</w:t>
      </w:r>
      <w:r w:rsidR="0068520E">
        <w:rPr>
          <w:b/>
          <w:bCs/>
        </w:rPr>
        <w:t xml:space="preserve"> relatifs au versement mobilité</w:t>
      </w:r>
      <w:r w:rsidR="00A856D2" w:rsidRPr="00293F9D">
        <w:rPr>
          <w:b/>
          <w:bCs/>
        </w:rPr>
        <w:t xml:space="preserve"> sur les périodes exigibles sur 2020, mesurés à fin 2020, </w:t>
      </w:r>
      <w:r w:rsidRPr="00293F9D">
        <w:rPr>
          <w:b/>
          <w:bCs/>
        </w:rPr>
        <w:t xml:space="preserve">se situent ainsi à hauteur de </w:t>
      </w:r>
      <w:r w:rsidR="00A856D2" w:rsidRPr="00293F9D">
        <w:rPr>
          <w:b/>
          <w:bCs/>
        </w:rPr>
        <w:t>341 M€</w:t>
      </w:r>
      <w:r w:rsidR="001C33FF" w:rsidRPr="00293F9D">
        <w:rPr>
          <w:b/>
          <w:bCs/>
        </w:rPr>
        <w:t>.</w:t>
      </w:r>
      <w:r w:rsidR="001C33FF">
        <w:t xml:space="preserve"> Le cumul des restes à recouvrer</w:t>
      </w:r>
      <w:r w:rsidR="0068520E">
        <w:t xml:space="preserve"> VM</w:t>
      </w:r>
      <w:r w:rsidR="001C33FF">
        <w:t xml:space="preserve"> s’ils étaient </w:t>
      </w:r>
      <w:r w:rsidR="00DA0CD3">
        <w:t>restés</w:t>
      </w:r>
      <w:r w:rsidR="001C33FF">
        <w:t xml:space="preserve"> figés à la fin de mois de chaque exigibilité, se serai</w:t>
      </w:r>
      <w:r w:rsidR="00C044A9">
        <w:t>en</w:t>
      </w:r>
      <w:r w:rsidR="001C33FF">
        <w:t xml:space="preserve">t </w:t>
      </w:r>
      <w:r w:rsidR="00C044A9">
        <w:t>établis</w:t>
      </w:r>
      <w:r w:rsidR="001C33FF">
        <w:t xml:space="preserve"> à 754</w:t>
      </w:r>
      <w:r w:rsidR="00C044A9">
        <w:t xml:space="preserve"> </w:t>
      </w:r>
      <w:r w:rsidR="001C33FF">
        <w:t>M€</w:t>
      </w:r>
      <w:r w:rsidR="00A856D2">
        <w:t>.</w:t>
      </w:r>
    </w:p>
    <w:p w14:paraId="4433722C" w14:textId="6A34352F" w:rsidR="001C33FF" w:rsidRDefault="001C33FF" w:rsidP="00380810">
      <w:r>
        <w:t>Par</w:t>
      </w:r>
      <w:r w:rsidR="00A856D2">
        <w:t xml:space="preserve"> comparaison, les restes à recouvrer</w:t>
      </w:r>
      <w:r w:rsidR="0068520E">
        <w:t xml:space="preserve"> VM</w:t>
      </w:r>
      <w:r w:rsidR="00A856D2">
        <w:t xml:space="preserve"> sur les périodes exigibles sur </w:t>
      </w:r>
      <w:r w:rsidR="00C044A9">
        <w:t xml:space="preserve">l’année </w:t>
      </w:r>
      <w:r>
        <w:t>2019</w:t>
      </w:r>
      <w:r w:rsidR="00A856D2">
        <w:t xml:space="preserve">, mesurés à fin </w:t>
      </w:r>
      <w:r>
        <w:t>2019</w:t>
      </w:r>
      <w:r w:rsidR="00A856D2">
        <w:t>, se situaient à 58 M</w:t>
      </w:r>
      <w:r>
        <w:t>€.</w:t>
      </w:r>
    </w:p>
    <w:p w14:paraId="04AFE3D8" w14:textId="77777777" w:rsidR="001C33FF" w:rsidRDefault="001C33FF" w:rsidP="00380810"/>
    <w:p w14:paraId="6AC4917C" w14:textId="77777777" w:rsidR="001C33FF" w:rsidRDefault="001C33FF" w:rsidP="00380810"/>
    <w:p w14:paraId="120E2ED9" w14:textId="7FDE452E" w:rsidR="001C33FF" w:rsidRDefault="0068520E" w:rsidP="00293F9D">
      <w:pPr>
        <w:jc w:val="center"/>
      </w:pPr>
      <w:r>
        <w:rPr>
          <w:noProof/>
        </w:rPr>
        <w:drawing>
          <wp:inline distT="0" distB="0" distL="0" distR="0" wp14:anchorId="364D0FCE" wp14:editId="01062214">
            <wp:extent cx="5053013" cy="2646149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81" cy="2658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7E46B" w14:textId="77777777" w:rsidR="00DE419C" w:rsidRDefault="008D1D2A" w:rsidP="00380810">
      <w:r>
        <w:t xml:space="preserve"> </w:t>
      </w:r>
    </w:p>
    <w:p w14:paraId="18C16256" w14:textId="77777777" w:rsidR="001C33FF" w:rsidRDefault="001C33FF" w:rsidP="00380810"/>
    <w:p w14:paraId="4DE64061" w14:textId="75A79AAA" w:rsidR="00256A65" w:rsidRDefault="001C33FF" w:rsidP="00380810">
      <w:r>
        <w:t>En complément des paiements spontané</w:t>
      </w:r>
      <w:r w:rsidR="00C044A9">
        <w:t>s de leur dette par l</w:t>
      </w:r>
      <w:r>
        <w:t>es entreprise</w:t>
      </w:r>
      <w:r w:rsidRPr="00293F9D">
        <w:t>s,</w:t>
      </w:r>
      <w:r w:rsidRPr="00293F9D">
        <w:rPr>
          <w:b/>
          <w:bCs/>
        </w:rPr>
        <w:t xml:space="preserve"> l’Urssaf s’est engagée dans la mise en place d’échéanciers massifs pour </w:t>
      </w:r>
      <w:r w:rsidR="00256A65" w:rsidRPr="00293F9D">
        <w:rPr>
          <w:b/>
          <w:bCs/>
        </w:rPr>
        <w:t>l’apurement</w:t>
      </w:r>
      <w:r w:rsidRPr="00293F9D">
        <w:rPr>
          <w:b/>
          <w:bCs/>
        </w:rPr>
        <w:t xml:space="preserve"> des dettes </w:t>
      </w:r>
      <w:r w:rsidR="00C044A9">
        <w:rPr>
          <w:b/>
          <w:bCs/>
        </w:rPr>
        <w:t>restantes</w:t>
      </w:r>
      <w:r>
        <w:t>. Ces échéanciers</w:t>
      </w:r>
      <w:r w:rsidR="0068520E">
        <w:t xml:space="preserve"> ne sont pas spécifiques au versement mobilité mais concernent l’ensemble des cotisations et contributions restant dues. Ils</w:t>
      </w:r>
      <w:r>
        <w:t xml:space="preserve"> sont mis en place par vagues successive</w:t>
      </w:r>
      <w:r w:rsidR="00256A65">
        <w:t>s. Il est en effet nécessaire d’avoir au préalable stabilisé le montant de la dette de chaque entreprise, notamment en laissant le temps nécessaire à l’application des mesures d’exonérations et d’aides au paiement instaurées par la LFR3</w:t>
      </w:r>
      <w:r w:rsidR="00C044A9">
        <w:t xml:space="preserve"> de 2020</w:t>
      </w:r>
      <w:r w:rsidR="00256A65">
        <w:t xml:space="preserve"> et la LFSS pour 2021. Ce calendrier doit aussi tenir compte des différentes situations rencontrées par les entreprises, et de l’évolution de la situation sur les r</w:t>
      </w:r>
      <w:r w:rsidR="00DA0CD3">
        <w:t>estrictions d’activité</w:t>
      </w:r>
      <w:r w:rsidR="00C044A9">
        <w:t xml:space="preserve"> toujours</w:t>
      </w:r>
      <w:r w:rsidR="00DA0CD3">
        <w:t xml:space="preserve"> imposées à certains secteurs d’activité</w:t>
      </w:r>
      <w:r w:rsidR="00256A65">
        <w:t>.</w:t>
      </w:r>
    </w:p>
    <w:p w14:paraId="1540997D" w14:textId="77777777" w:rsidR="001C33FF" w:rsidRDefault="001C33FF" w:rsidP="00380810"/>
    <w:p w14:paraId="6A4D187D" w14:textId="77777777" w:rsidR="00256A65" w:rsidRDefault="00C044A9" w:rsidP="00380810">
      <w:r>
        <w:t>Le calendrier</w:t>
      </w:r>
      <w:r w:rsidR="00256A65">
        <w:t xml:space="preserve"> prévisionnel de mise en œuvre des plans d’apurement </w:t>
      </w:r>
      <w:r>
        <w:t>est le suivant.</w:t>
      </w:r>
    </w:p>
    <w:p w14:paraId="2AB16993" w14:textId="77777777" w:rsidR="00C044A9" w:rsidRDefault="00C044A9" w:rsidP="00380810"/>
    <w:p w14:paraId="732BF109" w14:textId="098AB3AD" w:rsidR="00DA0CD3" w:rsidRDefault="003351F7" w:rsidP="00DA0CD3">
      <w:pPr>
        <w:pStyle w:val="Paragraphedeliste"/>
        <w:numPr>
          <w:ilvl w:val="0"/>
          <w:numId w:val="3"/>
        </w:numPr>
      </w:pPr>
      <w:r w:rsidRPr="00293F9D">
        <w:rPr>
          <w:b/>
          <w:bCs/>
        </w:rPr>
        <w:t>V</w:t>
      </w:r>
      <w:r w:rsidR="00DA0CD3" w:rsidRPr="00293F9D">
        <w:rPr>
          <w:b/>
          <w:bCs/>
        </w:rPr>
        <w:t xml:space="preserve">ague 1 : entreprises aves dettes </w:t>
      </w:r>
      <w:r w:rsidR="00383BA6" w:rsidRPr="00293F9D">
        <w:rPr>
          <w:b/>
          <w:bCs/>
        </w:rPr>
        <w:t>nées antérieurement</w:t>
      </w:r>
      <w:r w:rsidR="00DA0CD3" w:rsidRPr="00293F9D">
        <w:rPr>
          <w:b/>
          <w:bCs/>
        </w:rPr>
        <w:t xml:space="preserve"> à </w:t>
      </w:r>
      <w:r w:rsidR="00383BA6" w:rsidRPr="00293F9D">
        <w:rPr>
          <w:b/>
          <w:bCs/>
        </w:rPr>
        <w:t>la période d’emploi de février</w:t>
      </w:r>
      <w:r w:rsidR="00DC0132">
        <w:rPr>
          <w:b/>
          <w:bCs/>
        </w:rPr>
        <w:t xml:space="preserve"> 2020</w:t>
      </w:r>
      <w:r w:rsidR="00DA0CD3" w:rsidRPr="00293F9D">
        <w:rPr>
          <w:b/>
          <w:bCs/>
        </w:rPr>
        <w:t>, et sans nouvelle dette depuis</w:t>
      </w:r>
    </w:p>
    <w:p w14:paraId="77CACECB" w14:textId="77777777" w:rsidR="003351F7" w:rsidRDefault="003351F7" w:rsidP="003351F7">
      <w:pPr>
        <w:pStyle w:val="Paragraphedeliste"/>
        <w:numPr>
          <w:ilvl w:val="1"/>
          <w:numId w:val="3"/>
        </w:numPr>
      </w:pPr>
      <w:r>
        <w:t>Reprise des échelonnement</w:t>
      </w:r>
      <w:r w:rsidR="00C044A9">
        <w:t>s</w:t>
      </w:r>
      <w:r>
        <w:t xml:space="preserve"> accordés antérieurement</w:t>
      </w:r>
    </w:p>
    <w:p w14:paraId="3A6C2A92" w14:textId="77777777" w:rsidR="00DA0CD3" w:rsidRDefault="003351F7" w:rsidP="00DA0CD3">
      <w:pPr>
        <w:pStyle w:val="Paragraphedeliste"/>
        <w:numPr>
          <w:ilvl w:val="1"/>
          <w:numId w:val="3"/>
        </w:numPr>
      </w:pPr>
      <w:r>
        <w:t>P</w:t>
      </w:r>
      <w:r w:rsidR="00DA0CD3">
        <w:t>remière échéance à compter d</w:t>
      </w:r>
      <w:r w:rsidR="00C044A9">
        <w:t>’</w:t>
      </w:r>
      <w:r>
        <w:t>octobre</w:t>
      </w:r>
      <w:r w:rsidR="00DA0CD3">
        <w:t xml:space="preserve"> 202</w:t>
      </w:r>
      <w:r w:rsidR="00C044A9">
        <w:t>0</w:t>
      </w:r>
    </w:p>
    <w:p w14:paraId="62AA015F" w14:textId="77777777" w:rsidR="00256A65" w:rsidRDefault="00256A65" w:rsidP="00256A65">
      <w:pPr>
        <w:pStyle w:val="Paragraphedeliste"/>
        <w:ind w:left="1440"/>
      </w:pPr>
    </w:p>
    <w:p w14:paraId="2F038DA7" w14:textId="77777777" w:rsidR="00DA0CD3" w:rsidRDefault="003351F7" w:rsidP="00DA0CD3">
      <w:pPr>
        <w:pStyle w:val="Paragraphedeliste"/>
        <w:numPr>
          <w:ilvl w:val="0"/>
          <w:numId w:val="3"/>
        </w:numPr>
      </w:pPr>
      <w:r w:rsidRPr="00C044A9">
        <w:rPr>
          <w:b/>
          <w:bCs/>
        </w:rPr>
        <w:t>V</w:t>
      </w:r>
      <w:r w:rsidR="00DA0CD3" w:rsidRPr="00C044A9">
        <w:rPr>
          <w:b/>
          <w:bCs/>
        </w:rPr>
        <w:t>ague 2 : entreprises</w:t>
      </w:r>
      <w:r w:rsidRPr="00293F9D">
        <w:rPr>
          <w:b/>
          <w:bCs/>
        </w:rPr>
        <w:t xml:space="preserve"> mensuelles et trimestrielles</w:t>
      </w:r>
      <w:r w:rsidR="00DA0CD3" w:rsidRPr="00293F9D">
        <w:rPr>
          <w:b/>
          <w:bCs/>
        </w:rPr>
        <w:t xml:space="preserve"> avec dettes </w:t>
      </w:r>
      <w:r w:rsidR="00383BA6" w:rsidRPr="00293F9D">
        <w:rPr>
          <w:b/>
          <w:bCs/>
        </w:rPr>
        <w:t>nées</w:t>
      </w:r>
      <w:r w:rsidR="00DA0CD3" w:rsidRPr="00293F9D">
        <w:rPr>
          <w:b/>
          <w:bCs/>
        </w:rPr>
        <w:t xml:space="preserve"> uniquement </w:t>
      </w:r>
      <w:r w:rsidR="00383BA6" w:rsidRPr="00293F9D">
        <w:rPr>
          <w:b/>
          <w:bCs/>
        </w:rPr>
        <w:t>au titre des périodes d’emploi de février à mai 2020 (première période de confi</w:t>
      </w:r>
      <w:r w:rsidR="00C044A9">
        <w:rPr>
          <w:b/>
          <w:bCs/>
        </w:rPr>
        <w:t>ne</w:t>
      </w:r>
      <w:r w:rsidR="00383BA6" w:rsidRPr="00293F9D">
        <w:rPr>
          <w:b/>
          <w:bCs/>
        </w:rPr>
        <w:t>ment)</w:t>
      </w:r>
      <w:r w:rsidR="00DA0CD3" w:rsidRPr="00293F9D">
        <w:rPr>
          <w:b/>
          <w:bCs/>
        </w:rPr>
        <w:t xml:space="preserve">, hors secteurs </w:t>
      </w:r>
      <w:r w:rsidR="00383BA6" w:rsidRPr="00293F9D">
        <w:rPr>
          <w:b/>
          <w:bCs/>
        </w:rPr>
        <w:t>touchés directement ou indirectement par les fermetures administratives</w:t>
      </w:r>
    </w:p>
    <w:p w14:paraId="365E07FA" w14:textId="77777777" w:rsidR="00A42771" w:rsidRDefault="00A42771" w:rsidP="00A42771">
      <w:pPr>
        <w:pStyle w:val="Paragraphedeliste"/>
        <w:numPr>
          <w:ilvl w:val="1"/>
          <w:numId w:val="3"/>
        </w:numPr>
      </w:pPr>
      <w:r>
        <w:t>150 000 entreprises concernées</w:t>
      </w:r>
    </w:p>
    <w:p w14:paraId="5064C029" w14:textId="77777777" w:rsidR="003351F7" w:rsidRDefault="003351F7" w:rsidP="00A42771">
      <w:pPr>
        <w:pStyle w:val="Paragraphedeliste"/>
        <w:numPr>
          <w:ilvl w:val="1"/>
          <w:numId w:val="3"/>
        </w:numPr>
      </w:pPr>
      <w:r>
        <w:t>Echelonnement sur 1 à 12 mois</w:t>
      </w:r>
    </w:p>
    <w:p w14:paraId="442CC387" w14:textId="77777777" w:rsidR="00DA0CD3" w:rsidRDefault="003351F7" w:rsidP="00DA0CD3">
      <w:pPr>
        <w:pStyle w:val="Paragraphedeliste"/>
        <w:numPr>
          <w:ilvl w:val="1"/>
          <w:numId w:val="3"/>
        </w:numPr>
      </w:pPr>
      <w:r>
        <w:t>P</w:t>
      </w:r>
      <w:r w:rsidR="00DA0CD3">
        <w:t>remière échéance à compter de mai 202</w:t>
      </w:r>
      <w:r w:rsidR="00A42771">
        <w:t>1</w:t>
      </w:r>
      <w:r w:rsidR="00BE3187">
        <w:t xml:space="preserve"> (plans envoyés </w:t>
      </w:r>
      <w:proofErr w:type="spellStart"/>
      <w:r w:rsidR="00BE3187">
        <w:t>mi février</w:t>
      </w:r>
      <w:proofErr w:type="spellEnd"/>
      <w:r w:rsidR="00BE3187">
        <w:t xml:space="preserve"> 2021)</w:t>
      </w:r>
    </w:p>
    <w:p w14:paraId="0455FBB2" w14:textId="77777777" w:rsidR="00256A65" w:rsidRDefault="00256A65" w:rsidP="00256A65">
      <w:pPr>
        <w:pStyle w:val="Paragraphedeliste"/>
        <w:ind w:left="1440"/>
      </w:pPr>
    </w:p>
    <w:p w14:paraId="71A5937C" w14:textId="432BFCB6" w:rsidR="00DA0CD3" w:rsidRPr="00293F9D" w:rsidRDefault="003351F7" w:rsidP="00DA0CD3">
      <w:pPr>
        <w:pStyle w:val="Paragraphedeliste"/>
        <w:numPr>
          <w:ilvl w:val="0"/>
          <w:numId w:val="3"/>
        </w:numPr>
        <w:rPr>
          <w:b/>
          <w:bCs/>
        </w:rPr>
      </w:pPr>
      <w:r w:rsidRPr="00293F9D">
        <w:rPr>
          <w:b/>
          <w:bCs/>
        </w:rPr>
        <w:t>V</w:t>
      </w:r>
      <w:r w:rsidR="00DA0CD3" w:rsidRPr="00293F9D">
        <w:rPr>
          <w:b/>
          <w:bCs/>
        </w:rPr>
        <w:t>ague 3 : entreprises</w:t>
      </w:r>
      <w:r w:rsidRPr="00293F9D">
        <w:rPr>
          <w:b/>
          <w:bCs/>
        </w:rPr>
        <w:t xml:space="preserve"> mensuelles</w:t>
      </w:r>
      <w:r w:rsidR="00DA0CD3" w:rsidRPr="00293F9D">
        <w:rPr>
          <w:b/>
          <w:bCs/>
        </w:rPr>
        <w:t xml:space="preserve"> avec dettes </w:t>
      </w:r>
      <w:r w:rsidR="00383BA6" w:rsidRPr="00293F9D">
        <w:rPr>
          <w:b/>
          <w:bCs/>
        </w:rPr>
        <w:t>nées uniquement au titre des périodes d’emploi de juin à décembre 2020 (post première période de confi</w:t>
      </w:r>
      <w:r w:rsidR="000C6277">
        <w:rPr>
          <w:b/>
          <w:bCs/>
        </w:rPr>
        <w:t>ne</w:t>
      </w:r>
      <w:r w:rsidR="00383BA6" w:rsidRPr="00293F9D">
        <w:rPr>
          <w:b/>
          <w:bCs/>
        </w:rPr>
        <w:t>ment)</w:t>
      </w:r>
      <w:r w:rsidR="00DA0CD3" w:rsidRPr="00293F9D">
        <w:rPr>
          <w:b/>
          <w:bCs/>
        </w:rPr>
        <w:t xml:space="preserve">, hors </w:t>
      </w:r>
      <w:proofErr w:type="gramStart"/>
      <w:r w:rsidR="00DA0CD3" w:rsidRPr="00293F9D">
        <w:rPr>
          <w:b/>
          <w:bCs/>
        </w:rPr>
        <w:t xml:space="preserve">secteurs </w:t>
      </w:r>
      <w:r w:rsidR="00DC0132">
        <w:rPr>
          <w:b/>
          <w:bCs/>
        </w:rPr>
        <w:t xml:space="preserve"> </w:t>
      </w:r>
      <w:r w:rsidR="00383BA6" w:rsidRPr="00293F9D">
        <w:rPr>
          <w:b/>
          <w:bCs/>
        </w:rPr>
        <w:t>touchés</w:t>
      </w:r>
      <w:proofErr w:type="gramEnd"/>
      <w:r w:rsidR="00383BA6" w:rsidRPr="00293F9D">
        <w:rPr>
          <w:b/>
          <w:bCs/>
        </w:rPr>
        <w:t xml:space="preserve"> directement ou indirectement par </w:t>
      </w:r>
      <w:bookmarkStart w:id="0" w:name="_GoBack"/>
      <w:bookmarkEnd w:id="0"/>
      <w:r w:rsidR="00383BA6" w:rsidRPr="00293F9D">
        <w:rPr>
          <w:b/>
          <w:bCs/>
        </w:rPr>
        <w:t>les fermetures administratives</w:t>
      </w:r>
    </w:p>
    <w:p w14:paraId="7817E23F" w14:textId="77777777" w:rsidR="003351F7" w:rsidRDefault="003351F7" w:rsidP="00DA0CD3">
      <w:pPr>
        <w:pStyle w:val="Paragraphedeliste"/>
        <w:numPr>
          <w:ilvl w:val="1"/>
          <w:numId w:val="3"/>
        </w:numPr>
      </w:pPr>
      <w:r>
        <w:t>2500 entreprises concernées</w:t>
      </w:r>
    </w:p>
    <w:p w14:paraId="474F81CC" w14:textId="77777777" w:rsidR="003351F7" w:rsidRDefault="003351F7" w:rsidP="003351F7">
      <w:pPr>
        <w:pStyle w:val="Paragraphedeliste"/>
        <w:numPr>
          <w:ilvl w:val="1"/>
          <w:numId w:val="3"/>
        </w:numPr>
      </w:pPr>
      <w:r>
        <w:t>Echelonnement sur 1 à 18 mois</w:t>
      </w:r>
    </w:p>
    <w:p w14:paraId="50335323" w14:textId="27C90BFA" w:rsidR="00DA0CD3" w:rsidRDefault="003351F7" w:rsidP="00DA0CD3">
      <w:pPr>
        <w:pStyle w:val="Paragraphedeliste"/>
        <w:numPr>
          <w:ilvl w:val="1"/>
          <w:numId w:val="3"/>
        </w:numPr>
      </w:pPr>
      <w:r>
        <w:t>P</w:t>
      </w:r>
      <w:r w:rsidR="00DA0CD3">
        <w:t xml:space="preserve">remière échéance </w:t>
      </w:r>
      <w:r w:rsidR="00E24EA4">
        <w:t>à compter de juin 202</w:t>
      </w:r>
      <w:r w:rsidR="00DC0132">
        <w:t>1</w:t>
      </w:r>
      <w:r w:rsidR="00E24EA4">
        <w:t xml:space="preserve"> (plans envoyés </w:t>
      </w:r>
      <w:proofErr w:type="spellStart"/>
      <w:r w:rsidR="00E24EA4">
        <w:t>mi mars</w:t>
      </w:r>
      <w:proofErr w:type="spellEnd"/>
      <w:r w:rsidR="00E24EA4">
        <w:t xml:space="preserve"> 2021)</w:t>
      </w:r>
    </w:p>
    <w:p w14:paraId="5C09525C" w14:textId="77777777" w:rsidR="00256A65" w:rsidRDefault="00256A65" w:rsidP="00256A65">
      <w:pPr>
        <w:pStyle w:val="Paragraphedeliste"/>
        <w:ind w:left="1440"/>
      </w:pPr>
    </w:p>
    <w:p w14:paraId="6CA97BCB" w14:textId="77777777" w:rsidR="00DA0CD3" w:rsidRPr="00293F9D" w:rsidRDefault="003351F7" w:rsidP="00DA0CD3">
      <w:pPr>
        <w:pStyle w:val="Paragraphedeliste"/>
        <w:numPr>
          <w:ilvl w:val="0"/>
          <w:numId w:val="3"/>
        </w:numPr>
        <w:rPr>
          <w:b/>
          <w:bCs/>
        </w:rPr>
      </w:pPr>
      <w:r w:rsidRPr="00293F9D">
        <w:rPr>
          <w:b/>
          <w:bCs/>
        </w:rPr>
        <w:t>V</w:t>
      </w:r>
      <w:r w:rsidR="00DA0CD3" w:rsidRPr="00293F9D">
        <w:rPr>
          <w:b/>
          <w:bCs/>
        </w:rPr>
        <w:t>agues</w:t>
      </w:r>
      <w:r w:rsidR="00256A65" w:rsidRPr="00293F9D">
        <w:rPr>
          <w:b/>
          <w:bCs/>
        </w:rPr>
        <w:t xml:space="preserve"> </w:t>
      </w:r>
      <w:r w:rsidR="00DA0CD3" w:rsidRPr="00293F9D">
        <w:rPr>
          <w:b/>
          <w:bCs/>
        </w:rPr>
        <w:t>suivantes</w:t>
      </w:r>
      <w:r w:rsidR="00256A65" w:rsidRPr="00293F9D">
        <w:rPr>
          <w:b/>
          <w:bCs/>
        </w:rPr>
        <w:t> </w:t>
      </w:r>
      <w:r w:rsidR="00DA0CD3" w:rsidRPr="00293F9D">
        <w:rPr>
          <w:b/>
          <w:bCs/>
        </w:rPr>
        <w:t>:</w:t>
      </w:r>
      <w:r w:rsidR="00256A65" w:rsidRPr="00293F9D">
        <w:rPr>
          <w:b/>
          <w:bCs/>
        </w:rPr>
        <w:t> </w:t>
      </w:r>
      <w:r w:rsidR="00DA0CD3" w:rsidRPr="00293F9D">
        <w:rPr>
          <w:b/>
          <w:bCs/>
        </w:rPr>
        <w:t xml:space="preserve">entreprises avec dettes </w:t>
      </w:r>
      <w:r w:rsidR="00383BA6" w:rsidRPr="00293F9D">
        <w:rPr>
          <w:b/>
          <w:bCs/>
        </w:rPr>
        <w:t>mixtes</w:t>
      </w:r>
      <w:r w:rsidR="00DA0CD3" w:rsidRPr="00293F9D">
        <w:rPr>
          <w:b/>
          <w:bCs/>
        </w:rPr>
        <w:t xml:space="preserve"> </w:t>
      </w:r>
      <w:r w:rsidR="00383BA6" w:rsidRPr="00293F9D">
        <w:rPr>
          <w:b/>
          <w:bCs/>
        </w:rPr>
        <w:t>(avant février 2020, entre février et juin 2020, après juin 2020)</w:t>
      </w:r>
      <w:r w:rsidR="00DA0CD3" w:rsidRPr="00293F9D">
        <w:rPr>
          <w:b/>
          <w:bCs/>
        </w:rPr>
        <w:t>,</w:t>
      </w:r>
      <w:r w:rsidR="00383BA6" w:rsidRPr="00293F9D">
        <w:rPr>
          <w:b/>
          <w:bCs/>
        </w:rPr>
        <w:t xml:space="preserve"> entreprises</w:t>
      </w:r>
      <w:r w:rsidR="00DA0CD3" w:rsidRPr="00293F9D">
        <w:rPr>
          <w:b/>
          <w:bCs/>
        </w:rPr>
        <w:t xml:space="preserve"> concernées </w:t>
      </w:r>
      <w:r w:rsidR="00383BA6" w:rsidRPr="00293F9D">
        <w:rPr>
          <w:b/>
          <w:bCs/>
        </w:rPr>
        <w:t>directement ou indirectement par les fermetures administratives</w:t>
      </w:r>
    </w:p>
    <w:p w14:paraId="3CFF1BEC" w14:textId="77777777" w:rsidR="001C33FF" w:rsidRDefault="003351F7" w:rsidP="00380810">
      <w:pPr>
        <w:pStyle w:val="Paragraphedeliste"/>
        <w:numPr>
          <w:ilvl w:val="1"/>
          <w:numId w:val="3"/>
        </w:numPr>
      </w:pPr>
      <w:r>
        <w:t>C</w:t>
      </w:r>
      <w:r w:rsidR="00DA0CD3">
        <w:t xml:space="preserve">alendrier et modalités </w:t>
      </w:r>
      <w:r w:rsidR="00A42771">
        <w:t>en cours de définition</w:t>
      </w:r>
    </w:p>
    <w:p w14:paraId="21DF0C45" w14:textId="77777777" w:rsidR="00380810" w:rsidRDefault="00380810" w:rsidP="00380810">
      <w:pPr>
        <w:rPr>
          <w:color w:val="1D457D"/>
        </w:rPr>
      </w:pPr>
    </w:p>
    <w:sectPr w:rsidR="00380810" w:rsidSect="0038081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01B1E" w14:textId="77777777" w:rsidR="00400EE8" w:rsidRDefault="00400EE8" w:rsidP="00FA428A">
      <w:r>
        <w:separator/>
      </w:r>
    </w:p>
  </w:endnote>
  <w:endnote w:type="continuationSeparator" w:id="0">
    <w:p w14:paraId="2A5541E2" w14:textId="77777777" w:rsidR="00400EE8" w:rsidRDefault="00400EE8" w:rsidP="00FA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48469942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5962A" w14:textId="77777777" w:rsidR="00295728" w:rsidRDefault="00295728" w:rsidP="0029572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38E6F52" w14:textId="77777777" w:rsidR="00295728" w:rsidRDefault="00295728" w:rsidP="00FA428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rFonts w:ascii="Arial" w:hAnsi="Arial" w:cs="Arial"/>
        <w:color w:val="006AA6"/>
        <w:sz w:val="16"/>
        <w:szCs w:val="16"/>
      </w:rPr>
      <w:id w:val="-217667236"/>
      <w:docPartObj>
        <w:docPartGallery w:val="Page Numbers (Bottom of Page)"/>
        <w:docPartUnique/>
      </w:docPartObj>
    </w:sdtPr>
    <w:sdtEndPr>
      <w:rPr>
        <w:rStyle w:val="Numrodepage"/>
        <w:b/>
      </w:rPr>
    </w:sdtEndPr>
    <w:sdtContent>
      <w:p w14:paraId="63D33E21" w14:textId="77777777" w:rsidR="00295728" w:rsidRPr="00813252" w:rsidRDefault="00295728" w:rsidP="00915ABC">
        <w:pPr>
          <w:pStyle w:val="Pieddepage"/>
          <w:framePr w:wrap="none" w:vAnchor="text" w:hAnchor="margin" w:xAlign="right" w:y="1"/>
          <w:ind w:right="-522"/>
          <w:rPr>
            <w:rStyle w:val="Numrodepage"/>
            <w:rFonts w:ascii="Arial" w:hAnsi="Arial" w:cs="Arial"/>
            <w:b/>
            <w:color w:val="006AA6"/>
            <w:sz w:val="16"/>
            <w:szCs w:val="16"/>
          </w:rPr>
        </w:pPr>
        <w:r>
          <w:rPr>
            <w:rStyle w:val="Numrodepage"/>
            <w:rFonts w:ascii="Arial" w:hAnsi="Arial" w:cs="Arial"/>
            <w:color w:val="006AA6"/>
            <w:sz w:val="16"/>
            <w:szCs w:val="16"/>
          </w:rPr>
          <w:t>Recettes du Versement Mobilité – Bilan 2020</w:t>
        </w:r>
        <w:r w:rsidRPr="00813252">
          <w:rPr>
            <w:rStyle w:val="Numrodepage"/>
            <w:rFonts w:ascii="Arial" w:hAnsi="Arial" w:cs="Arial"/>
            <w:color w:val="006AA6"/>
            <w:sz w:val="16"/>
            <w:szCs w:val="16"/>
          </w:rPr>
          <w:t xml:space="preserve"> # </w:t>
        </w:r>
        <w:r w:rsidRPr="00813252">
          <w:rPr>
            <w:rStyle w:val="Numrodepage"/>
            <w:rFonts w:ascii="Arial" w:hAnsi="Arial" w:cs="Arial"/>
            <w:b/>
            <w:color w:val="006AA6"/>
            <w:sz w:val="16"/>
            <w:szCs w:val="16"/>
          </w:rPr>
          <w:fldChar w:fldCharType="begin"/>
        </w:r>
        <w:r w:rsidRPr="00813252">
          <w:rPr>
            <w:rStyle w:val="Numrodepage"/>
            <w:rFonts w:ascii="Arial" w:hAnsi="Arial" w:cs="Arial"/>
            <w:b/>
            <w:color w:val="006AA6"/>
            <w:sz w:val="16"/>
            <w:szCs w:val="16"/>
          </w:rPr>
          <w:instrText xml:space="preserve"> PAGE </w:instrText>
        </w:r>
        <w:r w:rsidRPr="00813252">
          <w:rPr>
            <w:rStyle w:val="Numrodepage"/>
            <w:rFonts w:ascii="Arial" w:hAnsi="Arial" w:cs="Arial"/>
            <w:b/>
            <w:color w:val="006AA6"/>
            <w:sz w:val="16"/>
            <w:szCs w:val="16"/>
          </w:rPr>
          <w:fldChar w:fldCharType="separate"/>
        </w:r>
        <w:r w:rsidRPr="00813252">
          <w:rPr>
            <w:rStyle w:val="Numrodepage"/>
            <w:rFonts w:ascii="Arial" w:hAnsi="Arial" w:cs="Arial"/>
            <w:b/>
            <w:noProof/>
            <w:color w:val="006AA6"/>
            <w:sz w:val="16"/>
            <w:szCs w:val="16"/>
          </w:rPr>
          <w:t>2</w:t>
        </w:r>
        <w:r w:rsidRPr="00813252">
          <w:rPr>
            <w:rStyle w:val="Numrodepage"/>
            <w:rFonts w:ascii="Arial" w:hAnsi="Arial" w:cs="Arial"/>
            <w:b/>
            <w:color w:val="006AA6"/>
            <w:sz w:val="16"/>
            <w:szCs w:val="16"/>
          </w:rPr>
          <w:fldChar w:fldCharType="end"/>
        </w:r>
      </w:p>
    </w:sdtContent>
  </w:sdt>
  <w:p w14:paraId="3A0356D9" w14:textId="77777777" w:rsidR="00295728" w:rsidRPr="00380810" w:rsidRDefault="00295728" w:rsidP="00FA428A">
    <w:pPr>
      <w:pStyle w:val="Pieddepage"/>
      <w:ind w:right="360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rFonts w:ascii="Arial" w:hAnsi="Arial" w:cs="Arial"/>
        <w:color w:val="006AA6"/>
        <w:szCs w:val="20"/>
      </w:rPr>
      <w:id w:val="162851214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38EC680" w14:textId="77777777" w:rsidR="00295728" w:rsidRPr="00FA428A" w:rsidRDefault="00295728" w:rsidP="00FA428A">
        <w:pPr>
          <w:pStyle w:val="Pieddepage"/>
          <w:framePr w:h="762" w:hRule="exact" w:wrap="none" w:vAnchor="text" w:hAnchor="margin" w:xAlign="right" w:y="238"/>
          <w:ind w:right="-713"/>
          <w:rPr>
            <w:rStyle w:val="Numrodepage"/>
            <w:rFonts w:ascii="Arial" w:hAnsi="Arial" w:cs="Arial"/>
            <w:color w:val="006AA6"/>
            <w:szCs w:val="20"/>
          </w:rPr>
        </w:pPr>
        <w:r w:rsidRPr="00FA428A">
          <w:rPr>
            <w:rStyle w:val="Numrodepage"/>
            <w:rFonts w:ascii="Arial" w:hAnsi="Arial" w:cs="Arial"/>
            <w:color w:val="006AA6"/>
            <w:szCs w:val="20"/>
          </w:rPr>
          <w:fldChar w:fldCharType="begin"/>
        </w:r>
        <w:r w:rsidRPr="00FA428A">
          <w:rPr>
            <w:rStyle w:val="Numrodepage"/>
            <w:rFonts w:ascii="Arial" w:hAnsi="Arial" w:cs="Arial"/>
            <w:color w:val="006AA6"/>
            <w:szCs w:val="20"/>
          </w:rPr>
          <w:instrText xml:space="preserve"> PAGE </w:instrText>
        </w:r>
        <w:r w:rsidRPr="00FA428A">
          <w:rPr>
            <w:rStyle w:val="Numrodepage"/>
            <w:rFonts w:ascii="Arial" w:hAnsi="Arial" w:cs="Arial"/>
            <w:color w:val="006AA6"/>
            <w:szCs w:val="20"/>
          </w:rPr>
          <w:fldChar w:fldCharType="separate"/>
        </w:r>
        <w:r w:rsidRPr="00FA428A">
          <w:rPr>
            <w:rStyle w:val="Numrodepage"/>
            <w:rFonts w:ascii="Arial" w:hAnsi="Arial" w:cs="Arial"/>
            <w:noProof/>
            <w:color w:val="006AA6"/>
            <w:szCs w:val="20"/>
          </w:rPr>
          <w:t>1</w:t>
        </w:r>
        <w:r w:rsidRPr="00FA428A">
          <w:rPr>
            <w:rStyle w:val="Numrodepage"/>
            <w:rFonts w:ascii="Arial" w:hAnsi="Arial" w:cs="Arial"/>
            <w:color w:val="006AA6"/>
            <w:szCs w:val="20"/>
          </w:rPr>
          <w:fldChar w:fldCharType="end"/>
        </w:r>
      </w:p>
    </w:sdtContent>
  </w:sdt>
  <w:p w14:paraId="6761E900" w14:textId="77777777" w:rsidR="00295728" w:rsidRDefault="00295728" w:rsidP="00FA428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2577F" w14:textId="77777777" w:rsidR="00400EE8" w:rsidRDefault="00400EE8" w:rsidP="00FA428A">
      <w:r>
        <w:separator/>
      </w:r>
    </w:p>
  </w:footnote>
  <w:footnote w:type="continuationSeparator" w:id="0">
    <w:p w14:paraId="20946701" w14:textId="77777777" w:rsidR="00400EE8" w:rsidRDefault="00400EE8" w:rsidP="00FA4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6C6C" w14:textId="77777777" w:rsidR="00295728" w:rsidRDefault="00295728" w:rsidP="00FA428A">
    <w:pPr>
      <w:pStyle w:val="En-tte"/>
      <w:ind w:left="-1417"/>
    </w:pPr>
    <w:r>
      <w:rPr>
        <w:noProof/>
      </w:rPr>
      <w:drawing>
        <wp:inline distT="0" distB="0" distL="0" distR="0" wp14:anchorId="36303F35" wp14:editId="73F5AD0B">
          <wp:extent cx="7578000" cy="1159200"/>
          <wp:effectExtent l="0" t="0" r="444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rssaf_Fond-de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15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30700" w14:textId="77777777" w:rsidR="00295728" w:rsidRDefault="00295728" w:rsidP="00FA428A">
    <w:pPr>
      <w:pStyle w:val="En-tte"/>
      <w:ind w:left="-1417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C6234" wp14:editId="17502B40">
          <wp:simplePos x="0" y="0"/>
          <wp:positionH relativeFrom="column">
            <wp:posOffset>-909522</wp:posOffset>
          </wp:positionH>
          <wp:positionV relativeFrom="paragraph">
            <wp:posOffset>7377</wp:posOffset>
          </wp:positionV>
          <wp:extent cx="7574400" cy="1158437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rssaf_Note_Interne_FondCompl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158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C3AC1"/>
    <w:multiLevelType w:val="hybridMultilevel"/>
    <w:tmpl w:val="7834F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2133"/>
    <w:multiLevelType w:val="hybridMultilevel"/>
    <w:tmpl w:val="B6100E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21ADF"/>
    <w:multiLevelType w:val="hybridMultilevel"/>
    <w:tmpl w:val="0B96D6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733AB"/>
    <w:multiLevelType w:val="hybridMultilevel"/>
    <w:tmpl w:val="BAC0D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AF2"/>
    <w:rsid w:val="000314AE"/>
    <w:rsid w:val="00043D43"/>
    <w:rsid w:val="00094593"/>
    <w:rsid w:val="000C5867"/>
    <w:rsid w:val="000C5F39"/>
    <w:rsid w:val="000C6277"/>
    <w:rsid w:val="000F62F6"/>
    <w:rsid w:val="00106F7A"/>
    <w:rsid w:val="00145E2B"/>
    <w:rsid w:val="00165C66"/>
    <w:rsid w:val="001A3AC2"/>
    <w:rsid w:val="001B3AF2"/>
    <w:rsid w:val="001C33FF"/>
    <w:rsid w:val="001C4239"/>
    <w:rsid w:val="001E1488"/>
    <w:rsid w:val="001E1FD2"/>
    <w:rsid w:val="00241D27"/>
    <w:rsid w:val="00252EAF"/>
    <w:rsid w:val="00256A65"/>
    <w:rsid w:val="00293F9D"/>
    <w:rsid w:val="00295728"/>
    <w:rsid w:val="003313A8"/>
    <w:rsid w:val="003351F7"/>
    <w:rsid w:val="00367BC2"/>
    <w:rsid w:val="00380810"/>
    <w:rsid w:val="00383BA6"/>
    <w:rsid w:val="00400EE8"/>
    <w:rsid w:val="00413857"/>
    <w:rsid w:val="00432B9F"/>
    <w:rsid w:val="004E70DD"/>
    <w:rsid w:val="0053079B"/>
    <w:rsid w:val="00531323"/>
    <w:rsid w:val="005717C4"/>
    <w:rsid w:val="005A424A"/>
    <w:rsid w:val="00661A84"/>
    <w:rsid w:val="0068520E"/>
    <w:rsid w:val="006F5003"/>
    <w:rsid w:val="0070220C"/>
    <w:rsid w:val="00704EB1"/>
    <w:rsid w:val="0076000F"/>
    <w:rsid w:val="00786217"/>
    <w:rsid w:val="007C6776"/>
    <w:rsid w:val="008053C6"/>
    <w:rsid w:val="00813252"/>
    <w:rsid w:val="008369C1"/>
    <w:rsid w:val="008415A2"/>
    <w:rsid w:val="008463A1"/>
    <w:rsid w:val="00876BD1"/>
    <w:rsid w:val="00890242"/>
    <w:rsid w:val="008C075B"/>
    <w:rsid w:val="008D1D2A"/>
    <w:rsid w:val="008F41DA"/>
    <w:rsid w:val="009034D6"/>
    <w:rsid w:val="00915ABC"/>
    <w:rsid w:val="00924CC6"/>
    <w:rsid w:val="009A2711"/>
    <w:rsid w:val="009A7260"/>
    <w:rsid w:val="009C7DB3"/>
    <w:rsid w:val="00A33733"/>
    <w:rsid w:val="00A42771"/>
    <w:rsid w:val="00A856D2"/>
    <w:rsid w:val="00AD1D1D"/>
    <w:rsid w:val="00B56B6D"/>
    <w:rsid w:val="00BB496A"/>
    <w:rsid w:val="00BC4111"/>
    <w:rsid w:val="00BE3187"/>
    <w:rsid w:val="00C044A9"/>
    <w:rsid w:val="00C96E5D"/>
    <w:rsid w:val="00DA0CD3"/>
    <w:rsid w:val="00DB6E79"/>
    <w:rsid w:val="00DC0132"/>
    <w:rsid w:val="00DE0D91"/>
    <w:rsid w:val="00DE419C"/>
    <w:rsid w:val="00E24EA4"/>
    <w:rsid w:val="00E40A1E"/>
    <w:rsid w:val="00E511C6"/>
    <w:rsid w:val="00F00213"/>
    <w:rsid w:val="00F475FE"/>
    <w:rsid w:val="00F55EB5"/>
    <w:rsid w:val="00F62461"/>
    <w:rsid w:val="00F9750C"/>
    <w:rsid w:val="00FA428A"/>
    <w:rsid w:val="00FD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140A0"/>
  <w15:chartTrackingRefBased/>
  <w15:docId w15:val="{580B41C7-8738-4DF7-B8F3-8B00AD84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3252"/>
    <w:pPr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42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A428A"/>
  </w:style>
  <w:style w:type="paragraph" w:styleId="Pieddepage">
    <w:name w:val="footer"/>
    <w:basedOn w:val="Normal"/>
    <w:link w:val="PieddepageCar"/>
    <w:unhideWhenUsed/>
    <w:rsid w:val="00FA428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A428A"/>
  </w:style>
  <w:style w:type="character" w:styleId="Numrodepage">
    <w:name w:val="page number"/>
    <w:basedOn w:val="Policepardfaut"/>
    <w:uiPriority w:val="99"/>
    <w:semiHidden/>
    <w:unhideWhenUsed/>
    <w:rsid w:val="00FA428A"/>
  </w:style>
  <w:style w:type="paragraph" w:styleId="Textedebulles">
    <w:name w:val="Balloon Text"/>
    <w:basedOn w:val="Normal"/>
    <w:link w:val="TextedebullesCar"/>
    <w:uiPriority w:val="99"/>
    <w:semiHidden/>
    <w:unhideWhenUsed/>
    <w:rsid w:val="008C07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075B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9A726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C7D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7DB3"/>
  </w:style>
  <w:style w:type="character" w:customStyle="1" w:styleId="CommentaireCar">
    <w:name w:val="Commentaire Car"/>
    <w:basedOn w:val="Policepardfaut"/>
    <w:link w:val="Commentaire"/>
    <w:uiPriority w:val="99"/>
    <w:semiHidden/>
    <w:rsid w:val="009C7DB3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7D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7DB3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9C7DB3"/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C\Commun\COMMUNICATION%20DCF\Charte%20graphique%202021\Urssaf_CN_Doc-de-travail_Note-Interne\Urssaf_CN_Doc-de-travail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Urssaf_CN_Doc-de-travail.dotx</Template>
  <TotalTime>105</TotalTime>
  <Pages>5</Pages>
  <Words>1619</Words>
  <Characters>8908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LEFEVRE Patrick (Acoss)</dc:creator>
  <cp:keywords/>
  <dc:description/>
  <cp:lastModifiedBy>LEFEVRE Patrick (Acoss)</cp:lastModifiedBy>
  <cp:revision>7</cp:revision>
  <dcterms:created xsi:type="dcterms:W3CDTF">2021-03-08T10:07:00Z</dcterms:created>
  <dcterms:modified xsi:type="dcterms:W3CDTF">2021-03-08T18:09:00Z</dcterms:modified>
</cp:coreProperties>
</file>